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F17BE" w14:textId="77777777" w:rsidR="00CF7455" w:rsidRDefault="00CF7455" w:rsidP="00CF7455">
      <w:pPr>
        <w:pStyle w:val="rtejustify"/>
        <w:spacing w:before="0" w:beforeAutospacing="0" w:after="0" w:afterAutospacing="0"/>
        <w:jc w:val="both"/>
        <w:rPr>
          <w:b/>
          <w:bCs/>
          <w:color w:val="000000"/>
        </w:rPr>
      </w:pPr>
    </w:p>
    <w:p w14:paraId="26B420F5" w14:textId="77777777" w:rsidR="00CF7455" w:rsidRDefault="00CF7455" w:rsidP="00CF7455">
      <w:pPr>
        <w:pStyle w:val="rtejustify"/>
        <w:spacing w:before="0" w:beforeAutospacing="0" w:after="0" w:afterAutospacing="0"/>
        <w:jc w:val="both"/>
        <w:rPr>
          <w:b/>
          <w:bCs/>
          <w:color w:val="000000"/>
        </w:rPr>
      </w:pPr>
    </w:p>
    <w:p w14:paraId="13BEA11F" w14:textId="77777777" w:rsidR="00CF7455" w:rsidRDefault="00CF7455" w:rsidP="00CF7455">
      <w:pPr>
        <w:pStyle w:val="rtejustify"/>
        <w:spacing w:before="0" w:beforeAutospacing="0" w:after="0" w:afterAutospacing="0"/>
        <w:jc w:val="both"/>
        <w:rPr>
          <w:b/>
          <w:bCs/>
          <w:color w:val="000000"/>
        </w:rPr>
      </w:pPr>
    </w:p>
    <w:p w14:paraId="62400C1D" w14:textId="77777777" w:rsidR="00CF7455" w:rsidRDefault="00CF7455" w:rsidP="00CF7455">
      <w:pPr>
        <w:pStyle w:val="rtejustify"/>
        <w:spacing w:before="0" w:beforeAutospacing="0" w:after="0" w:afterAutospacing="0"/>
        <w:jc w:val="both"/>
        <w:rPr>
          <w:b/>
          <w:bCs/>
          <w:color w:val="000000"/>
        </w:rPr>
      </w:pPr>
    </w:p>
    <w:p w14:paraId="5F2827D4" w14:textId="77777777" w:rsidR="00CF7455" w:rsidRDefault="00CF7455" w:rsidP="00CF7455">
      <w:pPr>
        <w:pStyle w:val="rtejustify"/>
        <w:spacing w:before="0" w:beforeAutospacing="0" w:after="0" w:afterAutospacing="0"/>
        <w:jc w:val="both"/>
        <w:rPr>
          <w:b/>
          <w:bCs/>
          <w:color w:val="000000"/>
        </w:rPr>
      </w:pPr>
    </w:p>
    <w:p w14:paraId="125E97BD" w14:textId="77777777" w:rsidR="00CF7455" w:rsidRDefault="00CF7455" w:rsidP="00CF7455">
      <w:pPr>
        <w:pStyle w:val="rtejustify"/>
        <w:spacing w:before="0" w:beforeAutospacing="0" w:after="0" w:afterAutospacing="0"/>
        <w:jc w:val="both"/>
        <w:rPr>
          <w:b/>
          <w:bCs/>
          <w:color w:val="000000"/>
        </w:rPr>
      </w:pPr>
    </w:p>
    <w:p w14:paraId="78EAC0E9" w14:textId="77777777" w:rsidR="00CF7455" w:rsidRDefault="00CF7455" w:rsidP="00CF7455">
      <w:pPr>
        <w:pStyle w:val="rtejustify"/>
        <w:spacing w:before="0" w:beforeAutospacing="0" w:after="0" w:afterAutospacing="0"/>
        <w:jc w:val="both"/>
        <w:rPr>
          <w:b/>
          <w:bCs/>
          <w:color w:val="000000"/>
        </w:rPr>
      </w:pPr>
    </w:p>
    <w:p w14:paraId="1995AAD2" w14:textId="77777777" w:rsidR="00CF7455" w:rsidRDefault="00CF7455" w:rsidP="00CF7455">
      <w:pPr>
        <w:pStyle w:val="rtejustify"/>
        <w:spacing w:before="0" w:beforeAutospacing="0" w:after="0" w:afterAutospacing="0"/>
        <w:jc w:val="both"/>
        <w:rPr>
          <w:b/>
          <w:bCs/>
          <w:color w:val="000000"/>
        </w:rPr>
      </w:pPr>
    </w:p>
    <w:p w14:paraId="72CA7350" w14:textId="77777777" w:rsidR="00CF7455" w:rsidRDefault="00CF7455" w:rsidP="00CF7455">
      <w:pPr>
        <w:pStyle w:val="rtejustify"/>
        <w:spacing w:before="0" w:beforeAutospacing="0" w:after="0" w:afterAutospacing="0"/>
        <w:jc w:val="both"/>
        <w:rPr>
          <w:b/>
          <w:bCs/>
          <w:color w:val="000000"/>
        </w:rPr>
      </w:pPr>
    </w:p>
    <w:p w14:paraId="0C9A21A1" w14:textId="77777777" w:rsidR="00CF7455" w:rsidRDefault="00CF7455" w:rsidP="00CF7455">
      <w:pPr>
        <w:pStyle w:val="rtejustify"/>
        <w:spacing w:before="0" w:beforeAutospacing="0" w:after="0" w:afterAutospacing="0"/>
        <w:jc w:val="both"/>
        <w:rPr>
          <w:b/>
          <w:bCs/>
          <w:color w:val="000000"/>
        </w:rPr>
      </w:pPr>
    </w:p>
    <w:p w14:paraId="3F30EF4A" w14:textId="77777777" w:rsidR="00CF7455" w:rsidRDefault="00CF7455" w:rsidP="00CF7455">
      <w:pPr>
        <w:pStyle w:val="rtejustify"/>
        <w:spacing w:before="0" w:beforeAutospacing="0" w:after="0" w:afterAutospacing="0"/>
        <w:jc w:val="both"/>
        <w:rPr>
          <w:b/>
          <w:bCs/>
          <w:color w:val="000000"/>
        </w:rPr>
      </w:pPr>
    </w:p>
    <w:p w14:paraId="0D28DB1A" w14:textId="77777777" w:rsidR="00CF7455" w:rsidRDefault="00CF7455" w:rsidP="00CF7455">
      <w:pPr>
        <w:pStyle w:val="rtejustify"/>
        <w:spacing w:before="0" w:beforeAutospacing="0" w:after="0" w:afterAutospacing="0"/>
        <w:jc w:val="both"/>
        <w:rPr>
          <w:b/>
          <w:bCs/>
          <w:color w:val="000000"/>
        </w:rPr>
      </w:pPr>
    </w:p>
    <w:p w14:paraId="4A2B7EAC" w14:textId="77777777" w:rsidR="00CF7455" w:rsidRDefault="00CF7455" w:rsidP="00CF7455">
      <w:pPr>
        <w:pStyle w:val="rtejustify"/>
        <w:spacing w:before="0" w:beforeAutospacing="0" w:after="0" w:afterAutospacing="0"/>
        <w:jc w:val="both"/>
        <w:rPr>
          <w:b/>
          <w:bCs/>
          <w:color w:val="000000"/>
        </w:rPr>
      </w:pPr>
    </w:p>
    <w:p w14:paraId="1120EC64" w14:textId="77777777" w:rsidR="00CF7455" w:rsidRDefault="00CF7455" w:rsidP="00CF7455">
      <w:pPr>
        <w:pStyle w:val="rtejustify"/>
        <w:spacing w:before="0" w:beforeAutospacing="0" w:after="0" w:afterAutospacing="0"/>
        <w:jc w:val="both"/>
        <w:rPr>
          <w:b/>
          <w:bCs/>
          <w:color w:val="000000"/>
        </w:rPr>
      </w:pPr>
    </w:p>
    <w:p w14:paraId="6879F647" w14:textId="77777777" w:rsidR="00CF7455" w:rsidRDefault="00CF7455" w:rsidP="00CF7455">
      <w:pPr>
        <w:pStyle w:val="rtejustify"/>
        <w:spacing w:before="0" w:beforeAutospacing="0" w:after="0" w:afterAutospacing="0"/>
        <w:jc w:val="both"/>
        <w:rPr>
          <w:b/>
          <w:bCs/>
          <w:color w:val="000000"/>
        </w:rPr>
      </w:pPr>
    </w:p>
    <w:p w14:paraId="108F4E7E" w14:textId="77777777" w:rsidR="00CF7455" w:rsidRDefault="00CF7455" w:rsidP="00CF7455">
      <w:pPr>
        <w:pStyle w:val="rtejustify"/>
        <w:spacing w:before="0" w:beforeAutospacing="0" w:after="0" w:afterAutospacing="0"/>
        <w:jc w:val="both"/>
        <w:rPr>
          <w:b/>
          <w:bCs/>
          <w:color w:val="000000"/>
        </w:rPr>
      </w:pPr>
    </w:p>
    <w:p w14:paraId="28513F30" w14:textId="77777777" w:rsidR="00CF7455" w:rsidRDefault="00CF7455" w:rsidP="00CF7455">
      <w:pPr>
        <w:pStyle w:val="rtejustify"/>
        <w:spacing w:before="0" w:beforeAutospacing="0" w:after="0" w:afterAutospacing="0"/>
        <w:jc w:val="both"/>
        <w:rPr>
          <w:b/>
          <w:bCs/>
          <w:color w:val="000000"/>
        </w:rPr>
      </w:pPr>
    </w:p>
    <w:p w14:paraId="0A6C83BA" w14:textId="77777777" w:rsidR="00CF7455" w:rsidRDefault="00CF7455" w:rsidP="00CF7455">
      <w:pPr>
        <w:pStyle w:val="rtejustify"/>
        <w:spacing w:before="0" w:beforeAutospacing="0" w:after="0" w:afterAutospacing="0"/>
        <w:jc w:val="both"/>
        <w:rPr>
          <w:b/>
          <w:bCs/>
          <w:color w:val="000000"/>
        </w:rPr>
      </w:pPr>
    </w:p>
    <w:p w14:paraId="05E712CA" w14:textId="77777777" w:rsidR="00CF7455" w:rsidRDefault="00CF7455" w:rsidP="00CF7455">
      <w:pPr>
        <w:pStyle w:val="rtejustify"/>
        <w:spacing w:before="0" w:beforeAutospacing="0" w:after="0" w:afterAutospacing="0"/>
        <w:jc w:val="both"/>
        <w:rPr>
          <w:b/>
          <w:bCs/>
          <w:color w:val="000000"/>
        </w:rPr>
      </w:pPr>
    </w:p>
    <w:p w14:paraId="00D00E18" w14:textId="77777777" w:rsidR="00CF7455" w:rsidRDefault="00CF7455" w:rsidP="00CF7455">
      <w:pPr>
        <w:pStyle w:val="rtejustify"/>
        <w:spacing w:before="0" w:beforeAutospacing="0" w:after="0" w:afterAutospacing="0"/>
        <w:jc w:val="both"/>
        <w:rPr>
          <w:b/>
          <w:bCs/>
          <w:color w:val="000000"/>
        </w:rPr>
      </w:pPr>
    </w:p>
    <w:p w14:paraId="09CEAF42" w14:textId="77777777" w:rsidR="00CF7455" w:rsidRDefault="00CF7455" w:rsidP="00CF7455">
      <w:pPr>
        <w:pStyle w:val="rtejustify"/>
        <w:spacing w:before="0" w:beforeAutospacing="0" w:after="0" w:afterAutospacing="0"/>
        <w:jc w:val="both"/>
        <w:rPr>
          <w:b/>
          <w:bCs/>
          <w:color w:val="000000"/>
        </w:rPr>
      </w:pPr>
    </w:p>
    <w:p w14:paraId="2945A9A8" w14:textId="77777777" w:rsidR="00CF7455" w:rsidRDefault="00CF7455" w:rsidP="00CF7455">
      <w:pPr>
        <w:pStyle w:val="rtejustify"/>
        <w:spacing w:before="0" w:beforeAutospacing="0" w:after="0" w:afterAutospacing="0"/>
        <w:jc w:val="both"/>
        <w:rPr>
          <w:b/>
          <w:bCs/>
          <w:color w:val="000000"/>
        </w:rPr>
      </w:pPr>
    </w:p>
    <w:p w14:paraId="7874032D" w14:textId="5926317F" w:rsidR="00E95CEC" w:rsidRPr="006A4160" w:rsidRDefault="00E95CEC" w:rsidP="004E2E85">
      <w:pPr>
        <w:pStyle w:val="rtejustify"/>
        <w:spacing w:before="0" w:beforeAutospacing="0" w:after="0" w:afterAutospacing="0"/>
        <w:jc w:val="center"/>
        <w:rPr>
          <w:b/>
          <w:bCs/>
          <w:color w:val="000000"/>
        </w:rPr>
      </w:pPr>
      <w:bookmarkStart w:id="0" w:name="_GoBack"/>
      <w:r w:rsidRPr="006A4160">
        <w:rPr>
          <w:b/>
          <w:bCs/>
          <w:color w:val="000000"/>
        </w:rPr>
        <w:t>Achieving Universal Health Coverage through Digital Financial Services</w:t>
      </w:r>
    </w:p>
    <w:bookmarkEnd w:id="0"/>
    <w:p w14:paraId="5FE9ACD1" w14:textId="4D03D9B1" w:rsidR="00E95CEC" w:rsidRPr="006A4160" w:rsidRDefault="00E95CEC" w:rsidP="004E2E85">
      <w:pPr>
        <w:spacing w:before="0" w:beforeAutospacing="0"/>
        <w:ind w:left="0"/>
        <w:jc w:val="center"/>
        <w:textAlignment w:val="baseline"/>
        <w:rPr>
          <w:rFonts w:ascii="Times New Roman" w:eastAsia="Times New Roman" w:hAnsi="Times New Roman" w:cs="Times New Roman"/>
          <w:color w:val="000000"/>
        </w:rPr>
      </w:pPr>
      <w:r w:rsidRPr="006A4160">
        <w:rPr>
          <w:rFonts w:ascii="Times New Roman" w:eastAsia="Times New Roman" w:hAnsi="Times New Roman" w:cs="Times New Roman"/>
          <w:color w:val="000000"/>
        </w:rPr>
        <w:t xml:space="preserve">How Digital Financial Services can bolster the nascent Zambia NHI </w:t>
      </w:r>
      <w:r w:rsidR="00CF7455">
        <w:rPr>
          <w:rFonts w:ascii="Times New Roman" w:eastAsia="Times New Roman" w:hAnsi="Times New Roman" w:cs="Times New Roman"/>
          <w:color w:val="000000"/>
        </w:rPr>
        <w:t>goals</w:t>
      </w:r>
      <w:r w:rsidRPr="006A4160">
        <w:rPr>
          <w:rFonts w:ascii="Times New Roman" w:eastAsia="Times New Roman" w:hAnsi="Times New Roman" w:cs="Times New Roman"/>
          <w:color w:val="000000"/>
        </w:rPr>
        <w:t xml:space="preserve"> to achieve quality health care and contribute to achieving universal health coverage</w:t>
      </w:r>
    </w:p>
    <w:p w14:paraId="2AB71AC5" w14:textId="77777777" w:rsidR="00E95CEC" w:rsidRPr="006A4160" w:rsidRDefault="00E95CEC" w:rsidP="00CF7455">
      <w:pPr>
        <w:pStyle w:val="Heading2"/>
        <w:spacing w:before="0" w:beforeAutospacing="0"/>
        <w:jc w:val="both"/>
        <w:rPr>
          <w:rFonts w:ascii="Times New Roman" w:eastAsia="Times New Roman" w:hAnsi="Times New Roman" w:cs="Times New Roman"/>
        </w:rPr>
      </w:pPr>
    </w:p>
    <w:p w14:paraId="5FD2C87F" w14:textId="77777777" w:rsidR="00E95CEC" w:rsidRPr="006A4160" w:rsidRDefault="00E95CEC" w:rsidP="00CF7455">
      <w:pPr>
        <w:pStyle w:val="Heading2"/>
        <w:spacing w:before="0" w:beforeAutospacing="0"/>
        <w:jc w:val="both"/>
        <w:rPr>
          <w:rFonts w:ascii="Times New Roman" w:eastAsia="Times New Roman" w:hAnsi="Times New Roman" w:cs="Times New Roman"/>
        </w:rPr>
      </w:pPr>
    </w:p>
    <w:p w14:paraId="47000334" w14:textId="77777777" w:rsidR="00E95CEC" w:rsidRPr="006A4160" w:rsidRDefault="00E95CEC" w:rsidP="00CF7455">
      <w:pPr>
        <w:pStyle w:val="Heading2"/>
        <w:spacing w:before="0" w:beforeAutospacing="0"/>
        <w:jc w:val="both"/>
        <w:rPr>
          <w:rFonts w:ascii="Times New Roman" w:eastAsia="Times New Roman" w:hAnsi="Times New Roman" w:cs="Times New Roman"/>
        </w:rPr>
      </w:pPr>
    </w:p>
    <w:p w14:paraId="223BBE7B" w14:textId="77777777" w:rsidR="00E95CEC" w:rsidRPr="006A4160" w:rsidRDefault="00E95CEC" w:rsidP="00CF7455">
      <w:pPr>
        <w:pStyle w:val="Heading2"/>
        <w:spacing w:before="0" w:beforeAutospacing="0"/>
        <w:jc w:val="both"/>
        <w:rPr>
          <w:rFonts w:ascii="Times New Roman" w:eastAsia="Times New Roman" w:hAnsi="Times New Roman" w:cs="Times New Roman"/>
        </w:rPr>
      </w:pPr>
    </w:p>
    <w:p w14:paraId="57FA80BF" w14:textId="77777777" w:rsidR="00E95CEC" w:rsidRPr="006A4160" w:rsidRDefault="00E95CEC" w:rsidP="00CF7455">
      <w:pPr>
        <w:pStyle w:val="Heading2"/>
        <w:spacing w:before="0" w:beforeAutospacing="0"/>
        <w:jc w:val="both"/>
        <w:rPr>
          <w:rFonts w:ascii="Times New Roman" w:eastAsia="Times New Roman" w:hAnsi="Times New Roman" w:cs="Times New Roman"/>
        </w:rPr>
      </w:pPr>
    </w:p>
    <w:p w14:paraId="28F9CD53" w14:textId="77777777" w:rsidR="00E95CEC" w:rsidRPr="006A4160" w:rsidRDefault="00E95CEC" w:rsidP="00CF7455">
      <w:pPr>
        <w:pStyle w:val="Heading2"/>
        <w:spacing w:before="0" w:beforeAutospacing="0"/>
        <w:jc w:val="both"/>
        <w:rPr>
          <w:rFonts w:ascii="Times New Roman" w:eastAsia="Times New Roman" w:hAnsi="Times New Roman" w:cs="Times New Roman"/>
        </w:rPr>
      </w:pPr>
    </w:p>
    <w:p w14:paraId="79B00102" w14:textId="5C337CA9" w:rsidR="00E95CEC" w:rsidRDefault="00E95CEC" w:rsidP="00CF7455">
      <w:pPr>
        <w:pStyle w:val="Heading2"/>
        <w:spacing w:before="0" w:beforeAutospacing="0"/>
        <w:jc w:val="both"/>
        <w:rPr>
          <w:rFonts w:ascii="Times New Roman" w:eastAsia="Times New Roman" w:hAnsi="Times New Roman" w:cs="Times New Roman"/>
        </w:rPr>
      </w:pPr>
    </w:p>
    <w:p w14:paraId="3E423BB5" w14:textId="0DF96034" w:rsidR="006A4160" w:rsidRDefault="006A4160" w:rsidP="00CF7455">
      <w:pPr>
        <w:jc w:val="both"/>
      </w:pPr>
    </w:p>
    <w:p w14:paraId="32EC6F60" w14:textId="33799077" w:rsidR="006A4160" w:rsidRDefault="006A4160" w:rsidP="00CF7455">
      <w:pPr>
        <w:jc w:val="both"/>
      </w:pPr>
    </w:p>
    <w:p w14:paraId="59A7EFDC" w14:textId="1AA9A177" w:rsidR="006A4160" w:rsidRDefault="006A4160" w:rsidP="00CF7455">
      <w:pPr>
        <w:jc w:val="both"/>
      </w:pPr>
    </w:p>
    <w:p w14:paraId="78A42433" w14:textId="4C0DADCA" w:rsidR="006A4160" w:rsidRDefault="006A4160" w:rsidP="00CF7455">
      <w:pPr>
        <w:jc w:val="both"/>
      </w:pPr>
    </w:p>
    <w:p w14:paraId="43D10290" w14:textId="445C2288" w:rsidR="006A4160" w:rsidRDefault="006A4160" w:rsidP="00CF7455">
      <w:pPr>
        <w:jc w:val="both"/>
      </w:pPr>
    </w:p>
    <w:p w14:paraId="1DA59B8B" w14:textId="754CD8B1" w:rsidR="006A4160" w:rsidRDefault="006A4160" w:rsidP="00CF7455">
      <w:pPr>
        <w:jc w:val="both"/>
      </w:pPr>
    </w:p>
    <w:p w14:paraId="2021FD28" w14:textId="52F9AEF0" w:rsidR="006A4160" w:rsidRDefault="006A4160" w:rsidP="00CF7455">
      <w:pPr>
        <w:jc w:val="both"/>
      </w:pPr>
    </w:p>
    <w:p w14:paraId="70163AE3" w14:textId="77777777" w:rsidR="00840783" w:rsidRPr="00840783" w:rsidRDefault="00840783" w:rsidP="00CF7455">
      <w:pPr>
        <w:ind w:left="0"/>
        <w:jc w:val="both"/>
      </w:pPr>
    </w:p>
    <w:p w14:paraId="2B8AE9AD" w14:textId="419AE659" w:rsidR="00840783" w:rsidRPr="00840783" w:rsidRDefault="006A4160" w:rsidP="00CF7455">
      <w:pPr>
        <w:pStyle w:val="Heading2"/>
        <w:spacing w:before="0" w:beforeAutospacing="0"/>
        <w:ind w:left="0"/>
        <w:jc w:val="both"/>
        <w:rPr>
          <w:rFonts w:ascii="Times New Roman" w:eastAsia="Times New Roman" w:hAnsi="Times New Roman" w:cs="Times New Roman"/>
        </w:rPr>
      </w:pPr>
      <w:r w:rsidRPr="006A4160">
        <w:rPr>
          <w:rFonts w:ascii="Times New Roman" w:eastAsia="Times New Roman" w:hAnsi="Times New Roman" w:cs="Times New Roman"/>
          <w:color w:val="B54617"/>
          <w:sz w:val="29"/>
          <w:szCs w:val="29"/>
        </w:rPr>
        <w:lastRenderedPageBreak/>
        <w:t>Executive Summary</w:t>
      </w:r>
    </w:p>
    <w:p w14:paraId="5C01C950" w14:textId="07E1A7F2" w:rsidR="00840783" w:rsidRDefault="006A4160" w:rsidP="00CF7455">
      <w:pPr>
        <w:widowControl w:val="0"/>
        <w:overflowPunct w:val="0"/>
        <w:autoSpaceDE w:val="0"/>
        <w:autoSpaceDN w:val="0"/>
        <w:adjustRightInd w:val="0"/>
        <w:spacing w:before="0" w:beforeAutospacing="0"/>
        <w:ind w:left="0"/>
        <w:jc w:val="both"/>
        <w:rPr>
          <w:rFonts w:ascii="Times New Roman" w:hAnsi="Times New Roman" w:cs="Times New Roman"/>
        </w:rPr>
      </w:pPr>
      <w:r w:rsidRPr="006A4160">
        <w:rPr>
          <w:rFonts w:ascii="Times New Roman" w:hAnsi="Times New Roman" w:cs="Times New Roman"/>
        </w:rPr>
        <w:t xml:space="preserve">The introduction of a National Health Insurance Scheme </w:t>
      </w:r>
      <w:r w:rsidR="00CF7455">
        <w:rPr>
          <w:rFonts w:ascii="Times New Roman" w:hAnsi="Times New Roman" w:cs="Times New Roman"/>
        </w:rPr>
        <w:t xml:space="preserve">in Zambia </w:t>
      </w:r>
      <w:r w:rsidRPr="006A4160">
        <w:rPr>
          <w:rFonts w:ascii="Times New Roman" w:hAnsi="Times New Roman" w:cs="Times New Roman"/>
        </w:rPr>
        <w:t>is a timely, purposeful and strategic initiative aimed at addressing certain resource deficiencies in the health system, protecting and advancing the health of citizens and legal residents of Zambia as well as securing the sustainability of the health system. For Zambia, it addresses concerns over the financial burden and equity in access experienced by a large segment of the population, particularly the vulnerable and indigent in seeking adequate health care services for themselves and their</w:t>
      </w:r>
      <w:bookmarkStart w:id="1" w:name="page8"/>
      <w:bookmarkEnd w:id="1"/>
      <w:r w:rsidRPr="006A4160">
        <w:rPr>
          <w:rFonts w:ascii="Times New Roman" w:hAnsi="Times New Roman" w:cs="Times New Roman"/>
          <w:noProof/>
          <w:lang w:val="en-GB" w:eastAsia="en-GB"/>
        </w:rPr>
        <w:drawing>
          <wp:anchor distT="0" distB="0" distL="114300" distR="114300" simplePos="0" relativeHeight="251659264" behindDoc="1" locked="0" layoutInCell="0" allowOverlap="1" wp14:anchorId="3D23A411" wp14:editId="1B59F200">
            <wp:simplePos x="0" y="0"/>
            <wp:positionH relativeFrom="column">
              <wp:posOffset>-17145</wp:posOffset>
            </wp:positionH>
            <wp:positionV relativeFrom="paragraph">
              <wp:posOffset>17780</wp:posOffset>
            </wp:positionV>
            <wp:extent cx="5981065" cy="6350"/>
            <wp:effectExtent l="0" t="0" r="0" b="0"/>
            <wp:wrapNone/>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5981065" cy="6350"/>
                    </a:xfrm>
                    <a:prstGeom prst="rect">
                      <a:avLst/>
                    </a:prstGeom>
                    <a:noFill/>
                  </pic:spPr>
                </pic:pic>
              </a:graphicData>
            </a:graphic>
          </wp:anchor>
        </w:drawing>
      </w:r>
      <w:r w:rsidRPr="006A4160">
        <w:rPr>
          <w:rFonts w:ascii="Times New Roman" w:hAnsi="Times New Roman" w:cs="Times New Roman"/>
        </w:rPr>
        <w:t xml:space="preserve"> dependents given that approximately 99%</w:t>
      </w:r>
      <w:r w:rsidRPr="006A4160">
        <w:rPr>
          <w:rFonts w:ascii="Times New Roman" w:hAnsi="Times New Roman" w:cs="Times New Roman"/>
          <w:vertAlign w:val="superscript"/>
        </w:rPr>
        <w:t xml:space="preserve"> </w:t>
      </w:r>
      <w:r w:rsidRPr="006A4160">
        <w:rPr>
          <w:rFonts w:ascii="Times New Roman" w:hAnsi="Times New Roman" w:cs="Times New Roman"/>
        </w:rPr>
        <w:t>of the population has no private health insurance coverage.</w:t>
      </w:r>
      <w:r w:rsidR="00840783">
        <w:rPr>
          <w:rFonts w:ascii="Times New Roman" w:hAnsi="Times New Roman" w:cs="Times New Roman"/>
        </w:rPr>
        <w:t xml:space="preserve"> </w:t>
      </w:r>
    </w:p>
    <w:p w14:paraId="2415E60C" w14:textId="77777777" w:rsidR="00840783" w:rsidRDefault="00840783" w:rsidP="00CF7455">
      <w:pPr>
        <w:widowControl w:val="0"/>
        <w:overflowPunct w:val="0"/>
        <w:autoSpaceDE w:val="0"/>
        <w:autoSpaceDN w:val="0"/>
        <w:adjustRightInd w:val="0"/>
        <w:spacing w:before="0" w:beforeAutospacing="0"/>
        <w:ind w:left="0"/>
        <w:jc w:val="both"/>
        <w:rPr>
          <w:rFonts w:ascii="Times New Roman" w:hAnsi="Times New Roman" w:cs="Times New Roman"/>
        </w:rPr>
      </w:pPr>
    </w:p>
    <w:p w14:paraId="5356A7A9" w14:textId="7CC9AF6E" w:rsidR="00840783" w:rsidRDefault="00840783" w:rsidP="00CF7455">
      <w:pPr>
        <w:widowControl w:val="0"/>
        <w:overflowPunct w:val="0"/>
        <w:autoSpaceDE w:val="0"/>
        <w:autoSpaceDN w:val="0"/>
        <w:adjustRightInd w:val="0"/>
        <w:spacing w:before="0" w:beforeAutospacing="0"/>
        <w:ind w:left="0"/>
        <w:jc w:val="both"/>
        <w:rPr>
          <w:rFonts w:ascii="Times New Roman" w:hAnsi="Times New Roman" w:cs="Times New Roman"/>
        </w:rPr>
      </w:pPr>
      <w:r>
        <w:rPr>
          <w:rFonts w:ascii="Times New Roman" w:hAnsi="Times New Roman" w:cs="Times New Roman"/>
        </w:rPr>
        <w:t xml:space="preserve">Current unpublished data from the National Health Insurance (NHI) Authority show that from the targeted population that is eligible (and mandated) to contribute towards the </w:t>
      </w:r>
      <w:r w:rsidR="00CF7455">
        <w:rPr>
          <w:rFonts w:ascii="Times New Roman" w:hAnsi="Times New Roman" w:cs="Times New Roman"/>
        </w:rPr>
        <w:t xml:space="preserve">national health </w:t>
      </w:r>
      <w:r>
        <w:rPr>
          <w:rFonts w:ascii="Times New Roman" w:hAnsi="Times New Roman" w:cs="Times New Roman"/>
        </w:rPr>
        <w:t xml:space="preserve">insurance scheme, there are no records, systems or mechanism to identify, enroll and collect premiums from 60% of the targeted </w:t>
      </w:r>
      <w:r w:rsidR="00CF7455">
        <w:rPr>
          <w:rFonts w:ascii="Times New Roman" w:hAnsi="Times New Roman" w:cs="Times New Roman"/>
        </w:rPr>
        <w:t xml:space="preserve">contributing </w:t>
      </w:r>
      <w:r>
        <w:rPr>
          <w:rFonts w:ascii="Times New Roman" w:hAnsi="Times New Roman" w:cs="Times New Roman"/>
        </w:rPr>
        <w:t>population. This is primarily because of the fact the majority of people in actual employment in Zambia are “self-employed” in what is categorized as the informal sector with no traceable income tax records or social security</w:t>
      </w:r>
      <w:r w:rsidR="00CF7455">
        <w:rPr>
          <w:rFonts w:ascii="Times New Roman" w:hAnsi="Times New Roman" w:cs="Times New Roman"/>
        </w:rPr>
        <w:t xml:space="preserve"> numbers</w:t>
      </w:r>
      <w:r>
        <w:rPr>
          <w:rFonts w:ascii="Times New Roman" w:hAnsi="Times New Roman" w:cs="Times New Roman"/>
        </w:rPr>
        <w:t xml:space="preserve">. In the last five years, there has been an exponential growth of </w:t>
      </w:r>
      <w:proofErr w:type="spellStart"/>
      <w:r>
        <w:rPr>
          <w:rFonts w:ascii="Times New Roman" w:hAnsi="Times New Roman" w:cs="Times New Roman"/>
        </w:rPr>
        <w:t>D</w:t>
      </w:r>
      <w:r w:rsidR="00CF7455">
        <w:rPr>
          <w:rFonts w:ascii="Times New Roman" w:hAnsi="Times New Roman" w:cs="Times New Roman"/>
        </w:rPr>
        <w:t>gigital</w:t>
      </w:r>
      <w:proofErr w:type="spellEnd"/>
      <w:r w:rsidR="00CF7455">
        <w:rPr>
          <w:rFonts w:ascii="Times New Roman" w:hAnsi="Times New Roman" w:cs="Times New Roman"/>
        </w:rPr>
        <w:t xml:space="preserve"> </w:t>
      </w:r>
      <w:r>
        <w:rPr>
          <w:rFonts w:ascii="Times New Roman" w:hAnsi="Times New Roman" w:cs="Times New Roman"/>
        </w:rPr>
        <w:t>F</w:t>
      </w:r>
      <w:r w:rsidR="00CF7455">
        <w:rPr>
          <w:rFonts w:ascii="Times New Roman" w:hAnsi="Times New Roman" w:cs="Times New Roman"/>
        </w:rPr>
        <w:t>inancial Services (DF)</w:t>
      </w:r>
      <w:r>
        <w:rPr>
          <w:rFonts w:ascii="Times New Roman" w:hAnsi="Times New Roman" w:cs="Times New Roman"/>
        </w:rPr>
        <w:t xml:space="preserve">, particularly Mobile Money Services which are used by over 70% of the working </w:t>
      </w:r>
      <w:r w:rsidR="00CF7455">
        <w:rPr>
          <w:rFonts w:ascii="Times New Roman" w:hAnsi="Times New Roman" w:cs="Times New Roman"/>
        </w:rPr>
        <w:t xml:space="preserve">age </w:t>
      </w:r>
      <w:r>
        <w:rPr>
          <w:rFonts w:ascii="Times New Roman" w:hAnsi="Times New Roman" w:cs="Times New Roman"/>
        </w:rPr>
        <w:t xml:space="preserve">population (15-60 age; both in the informal and formal employment categories). How can this extensively used service be </w:t>
      </w:r>
      <w:r w:rsidR="00CF7455">
        <w:rPr>
          <w:rFonts w:ascii="Times New Roman" w:hAnsi="Times New Roman" w:cs="Times New Roman"/>
        </w:rPr>
        <w:t>harnessed</w:t>
      </w:r>
      <w:r>
        <w:rPr>
          <w:rFonts w:ascii="Times New Roman" w:hAnsi="Times New Roman" w:cs="Times New Roman"/>
        </w:rPr>
        <w:t xml:space="preserve"> to identify and possibly be a preferred platform to </w:t>
      </w:r>
      <w:r w:rsidRPr="006A4160">
        <w:rPr>
          <w:rFonts w:ascii="Times New Roman" w:hAnsi="Times New Roman" w:cs="Times New Roman"/>
        </w:rPr>
        <w:t>process enrollment, premium payment, policy administration, and communication</w:t>
      </w:r>
      <w:r>
        <w:rPr>
          <w:rFonts w:ascii="Times New Roman" w:hAnsi="Times New Roman" w:cs="Times New Roman"/>
        </w:rPr>
        <w:t xml:space="preserve"> </w:t>
      </w:r>
      <w:r w:rsidR="00CF7455">
        <w:rPr>
          <w:rFonts w:ascii="Times New Roman" w:hAnsi="Times New Roman" w:cs="Times New Roman"/>
        </w:rPr>
        <w:t xml:space="preserve">of </w:t>
      </w:r>
      <w:r>
        <w:rPr>
          <w:rFonts w:ascii="Times New Roman" w:hAnsi="Times New Roman" w:cs="Times New Roman"/>
        </w:rPr>
        <w:t>the “unregistered</w:t>
      </w:r>
      <w:r w:rsidR="00CF7455">
        <w:rPr>
          <w:rFonts w:ascii="Times New Roman" w:hAnsi="Times New Roman" w:cs="Times New Roman"/>
        </w:rPr>
        <w:t>”</w:t>
      </w:r>
      <w:r>
        <w:rPr>
          <w:rFonts w:ascii="Times New Roman" w:hAnsi="Times New Roman" w:cs="Times New Roman"/>
        </w:rPr>
        <w:t xml:space="preserve"> </w:t>
      </w:r>
      <w:r w:rsidR="00CF7455">
        <w:rPr>
          <w:rFonts w:ascii="Times New Roman" w:hAnsi="Times New Roman" w:cs="Times New Roman"/>
        </w:rPr>
        <w:t xml:space="preserve">informally </w:t>
      </w:r>
      <w:r>
        <w:rPr>
          <w:rFonts w:ascii="Times New Roman" w:hAnsi="Times New Roman" w:cs="Times New Roman"/>
        </w:rPr>
        <w:t xml:space="preserve">employed” </w:t>
      </w:r>
      <w:r w:rsidR="00CF7455">
        <w:rPr>
          <w:rFonts w:ascii="Times New Roman" w:hAnsi="Times New Roman" w:cs="Times New Roman"/>
        </w:rPr>
        <w:t xml:space="preserve">category of </w:t>
      </w:r>
      <w:r>
        <w:rPr>
          <w:rFonts w:ascii="Times New Roman" w:hAnsi="Times New Roman" w:cs="Times New Roman"/>
        </w:rPr>
        <w:t>contributors to the NHI?</w:t>
      </w:r>
    </w:p>
    <w:p w14:paraId="75A518C7" w14:textId="59B488B2" w:rsidR="00840783" w:rsidRDefault="00840783" w:rsidP="00CF7455">
      <w:pPr>
        <w:widowControl w:val="0"/>
        <w:overflowPunct w:val="0"/>
        <w:autoSpaceDE w:val="0"/>
        <w:autoSpaceDN w:val="0"/>
        <w:adjustRightInd w:val="0"/>
        <w:spacing w:before="0" w:beforeAutospacing="0"/>
        <w:ind w:left="0"/>
        <w:jc w:val="both"/>
        <w:rPr>
          <w:rFonts w:ascii="Times New Roman" w:hAnsi="Times New Roman" w:cs="Times New Roman"/>
        </w:rPr>
      </w:pPr>
    </w:p>
    <w:p w14:paraId="07FF0016" w14:textId="6AA23C0E" w:rsidR="00840783" w:rsidRPr="006A4160" w:rsidRDefault="00840783" w:rsidP="00CF7455">
      <w:pPr>
        <w:pStyle w:val="NormalWeb"/>
        <w:spacing w:before="0" w:beforeAutospacing="0" w:after="0" w:afterAutospacing="0"/>
        <w:jc w:val="both"/>
      </w:pPr>
      <w:r>
        <w:t xml:space="preserve">The </w:t>
      </w:r>
      <w:r w:rsidR="00CF7455">
        <w:t>“</w:t>
      </w:r>
      <w:r w:rsidRPr="006A4160">
        <w:t>Achieving UHC through DFS</w:t>
      </w:r>
      <w:r w:rsidR="00CF7455">
        <w:t>”</w:t>
      </w:r>
      <w:r w:rsidRPr="006A4160">
        <w:t xml:space="preserve"> assessment  has a specific</w:t>
      </w:r>
      <w:r w:rsidR="00CF7455">
        <w:t xml:space="preserve"> aim</w:t>
      </w:r>
      <w:r w:rsidRPr="006A4160">
        <w:t xml:space="preserve"> of gathering and providing detailed information and possible options of how the NHI Authority should collaborate and/or partner with M</w:t>
      </w:r>
      <w:r w:rsidR="00CF7455">
        <w:t xml:space="preserve">obile </w:t>
      </w:r>
      <w:r w:rsidRPr="006A4160">
        <w:t>N</w:t>
      </w:r>
      <w:r w:rsidR="00CF7455">
        <w:t xml:space="preserve">etwork </w:t>
      </w:r>
      <w:r w:rsidRPr="006A4160">
        <w:t>O</w:t>
      </w:r>
      <w:r w:rsidR="00CF7455">
        <w:t>perators (MNO</w:t>
      </w:r>
      <w:r w:rsidRPr="006A4160">
        <w:t>s</w:t>
      </w:r>
      <w:r w:rsidR="00CF7455">
        <w:t>)</w:t>
      </w:r>
      <w:r w:rsidRPr="006A4160">
        <w:t xml:space="preserve"> to achieve the NHI goals by increasing the member-contributor base population amongst the informally employed </w:t>
      </w:r>
      <w:r w:rsidR="00CF7455">
        <w:t xml:space="preserve">persons </w:t>
      </w:r>
      <w:r w:rsidRPr="006A4160">
        <w:t>who are not captured and processed by ZRA for NHI monthly contributions. The assessment will identify the most practical and cost effect solutions of the client-facing interaction processes (enrollment, premium payment, policy administration, and communication) through the use of mobile money services</w:t>
      </w:r>
      <w:r w:rsidR="00CF7455">
        <w:t>.</w:t>
      </w:r>
      <w:r w:rsidRPr="006A4160">
        <w:t xml:space="preserve"> </w:t>
      </w:r>
    </w:p>
    <w:p w14:paraId="7DECFEFC" w14:textId="77777777" w:rsidR="00840783" w:rsidRPr="006A4160" w:rsidRDefault="00840783" w:rsidP="00CF7455">
      <w:pPr>
        <w:widowControl w:val="0"/>
        <w:overflowPunct w:val="0"/>
        <w:autoSpaceDE w:val="0"/>
        <w:autoSpaceDN w:val="0"/>
        <w:adjustRightInd w:val="0"/>
        <w:spacing w:before="0" w:beforeAutospacing="0"/>
        <w:ind w:left="0"/>
        <w:jc w:val="both"/>
        <w:rPr>
          <w:rFonts w:ascii="Times New Roman" w:hAnsi="Times New Roman" w:cs="Times New Roman"/>
        </w:rPr>
      </w:pPr>
    </w:p>
    <w:p w14:paraId="4D9C37EF" w14:textId="7D1AA25D" w:rsidR="006A4160" w:rsidRP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01D3C220" w14:textId="33CAEE50" w:rsidR="006A4160" w:rsidRP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0B253EBF" w14:textId="2EE4DB09" w:rsidR="006A4160" w:rsidRP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1CB3C436" w14:textId="377AFA39" w:rsidR="006A4160" w:rsidRP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03DE35CD" w14:textId="7EC2ABD2" w:rsidR="006A4160" w:rsidRP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0D4699E4" w14:textId="688A8A61" w:rsidR="006A4160" w:rsidRP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25EBA12D" w14:textId="5B931170" w:rsidR="006A4160" w:rsidRP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3410EA94" w14:textId="0803F108" w:rsidR="006A4160" w:rsidRP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1A427B67" w14:textId="0384DA71" w:rsidR="006A4160" w:rsidRP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1ABCC11F" w14:textId="56499236" w:rsidR="006A4160" w:rsidRP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5F7AF430" w14:textId="0AF6B5B9" w:rsidR="006A4160" w:rsidRP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35A63D58" w14:textId="458C2938" w:rsidR="006A4160" w:rsidRP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2D16116D" w14:textId="42A75265" w:rsidR="006A4160" w:rsidRP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2810D7B1" w14:textId="292F6377" w:rsidR="006A4160" w:rsidRP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1A078E9F" w14:textId="2EF71AB1" w:rsidR="006A4160" w:rsidRP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58C7C33A" w14:textId="02997A7D" w:rsidR="006A4160" w:rsidRP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54FCCEE6" w14:textId="2A07B6E8" w:rsidR="006A4160" w:rsidRDefault="006A4160" w:rsidP="00CF7455">
      <w:pPr>
        <w:spacing w:before="0" w:beforeAutospacing="0"/>
        <w:ind w:left="600"/>
        <w:jc w:val="both"/>
        <w:rPr>
          <w:rFonts w:ascii="Times New Roman" w:eastAsia="Times New Roman" w:hAnsi="Times New Roman" w:cs="Times New Roman"/>
          <w:color w:val="000000"/>
          <w:sz w:val="22"/>
          <w:szCs w:val="22"/>
        </w:rPr>
      </w:pPr>
    </w:p>
    <w:p w14:paraId="0B79EA91" w14:textId="5F287638" w:rsidR="006A4160" w:rsidRDefault="006A4160" w:rsidP="00CF7455">
      <w:pPr>
        <w:spacing w:before="0" w:beforeAutospacing="0"/>
        <w:ind w:left="0"/>
        <w:jc w:val="both"/>
        <w:rPr>
          <w:rFonts w:ascii="Times New Roman" w:eastAsia="Times New Roman" w:hAnsi="Times New Roman" w:cs="Times New Roman"/>
          <w:color w:val="000000"/>
          <w:sz w:val="22"/>
          <w:szCs w:val="22"/>
        </w:rPr>
      </w:pPr>
    </w:p>
    <w:p w14:paraId="24666353" w14:textId="77777777" w:rsidR="00840783" w:rsidRDefault="00840783" w:rsidP="00CF7455">
      <w:pPr>
        <w:spacing w:before="0" w:beforeAutospacing="0"/>
        <w:ind w:left="0"/>
        <w:jc w:val="both"/>
        <w:outlineLvl w:val="3"/>
        <w:rPr>
          <w:rFonts w:ascii="Times New Roman" w:eastAsia="Times New Roman" w:hAnsi="Times New Roman" w:cs="Times New Roman"/>
          <w:color w:val="B54617"/>
          <w:sz w:val="29"/>
          <w:szCs w:val="29"/>
        </w:rPr>
      </w:pPr>
    </w:p>
    <w:p w14:paraId="13408ADE" w14:textId="1FDE0B5B" w:rsidR="006A4160" w:rsidRPr="006A4160" w:rsidRDefault="006A4160" w:rsidP="00CF7455">
      <w:pPr>
        <w:spacing w:before="0" w:beforeAutospacing="0"/>
        <w:ind w:left="0"/>
        <w:jc w:val="both"/>
        <w:outlineLvl w:val="3"/>
        <w:rPr>
          <w:rFonts w:ascii="Times New Roman" w:eastAsia="Times New Roman" w:hAnsi="Times New Roman" w:cs="Times New Roman"/>
          <w:color w:val="B54617"/>
          <w:sz w:val="29"/>
          <w:szCs w:val="29"/>
        </w:rPr>
      </w:pPr>
      <w:r w:rsidRPr="006A4160">
        <w:rPr>
          <w:rFonts w:ascii="Times New Roman" w:eastAsia="Times New Roman" w:hAnsi="Times New Roman" w:cs="Times New Roman"/>
          <w:color w:val="B54617"/>
          <w:sz w:val="29"/>
          <w:szCs w:val="29"/>
        </w:rPr>
        <w:lastRenderedPageBreak/>
        <w:t>Consortium Team</w:t>
      </w:r>
    </w:p>
    <w:p w14:paraId="45BAB7D9" w14:textId="4B3CACA2" w:rsidR="006A4160" w:rsidRPr="006A4160" w:rsidRDefault="006A4160" w:rsidP="00CF7455">
      <w:pPr>
        <w:spacing w:before="0" w:beforeAutospacing="0"/>
        <w:ind w:left="0"/>
        <w:jc w:val="both"/>
        <w:rPr>
          <w:rFonts w:ascii="Times New Roman" w:hAnsi="Times New Roman" w:cs="Times New Roman"/>
          <w:sz w:val="22"/>
          <w:szCs w:val="22"/>
        </w:rPr>
      </w:pPr>
      <w:r w:rsidRPr="006A4160">
        <w:rPr>
          <w:rFonts w:ascii="Times New Roman" w:hAnsi="Times New Roman" w:cs="Times New Roman"/>
          <w:sz w:val="22"/>
          <w:szCs w:val="22"/>
        </w:rPr>
        <w:t>IHM Southern Africa is an African led and owned non-profit organization working primarily to strengthen health systems for public health programs across Africa and has offices in South Africa, Zambia, Swaziland and Lesotho. Since its establishment in 2011, our staff compliment has grown from 5 to a team of over 50, managing development assistance funds from the US Government, the World Bank and the UN Family (including UNFPA, UNICEF and WHO). Our operating budget has increased from approximately $400,000 per annum to approximately to $4,000,000 per annum in 2019. We have implemented health systems and health management information systems projects and undertaken large scale qualitative and quantitative research assignments and program evaluations across East and Southern Africa</w:t>
      </w:r>
      <w:r w:rsidR="00290D84">
        <w:rPr>
          <w:rFonts w:ascii="Times New Roman" w:hAnsi="Times New Roman" w:cs="Times New Roman"/>
          <w:sz w:val="22"/>
          <w:szCs w:val="22"/>
        </w:rPr>
        <w:t xml:space="preserve">. </w:t>
      </w:r>
      <w:r w:rsidRPr="006A4160">
        <w:rPr>
          <w:rFonts w:ascii="Times New Roman" w:hAnsi="Times New Roman" w:cs="Times New Roman"/>
          <w:sz w:val="22"/>
          <w:szCs w:val="22"/>
        </w:rPr>
        <w:t xml:space="preserve">IHM has a proven track record of providing high-quality cost-effective program research and evaluations for various health sector clients; health informatics technical assistance; grant funded Strategic Information (SI) and Health Management Information Systems (HMIS) program implementation. IHM comprises a team of experienced and recognized public health experts in health informatics, program monitoring and evaluation, data analytics, quantitative and qualitative researchers and epidemiologist from across the Southern Africa region who have built strong long-term working relationships and networks with key organisations and institutions in the East and Southern Africa region. Through a CDC </w:t>
      </w:r>
      <w:r w:rsidR="00290D84">
        <w:rPr>
          <w:rFonts w:ascii="Times New Roman" w:hAnsi="Times New Roman" w:cs="Times New Roman"/>
          <w:sz w:val="22"/>
          <w:szCs w:val="22"/>
        </w:rPr>
        <w:t xml:space="preserve">funded </w:t>
      </w:r>
      <w:r w:rsidRPr="006A4160">
        <w:rPr>
          <w:rFonts w:ascii="Times New Roman" w:hAnsi="Times New Roman" w:cs="Times New Roman"/>
          <w:sz w:val="22"/>
          <w:szCs w:val="22"/>
        </w:rPr>
        <w:t xml:space="preserve">sub-contract, IHM in Zambia is responsible for the deployment of a nationwide roll out of the Electronic Health Records (EHR), which </w:t>
      </w:r>
      <w:r w:rsidR="00CF7455">
        <w:rPr>
          <w:rFonts w:ascii="Times New Roman" w:hAnsi="Times New Roman" w:cs="Times New Roman"/>
          <w:sz w:val="22"/>
          <w:szCs w:val="22"/>
        </w:rPr>
        <w:t>will</w:t>
      </w:r>
      <w:r w:rsidRPr="006A4160">
        <w:rPr>
          <w:rFonts w:ascii="Times New Roman" w:hAnsi="Times New Roman" w:cs="Times New Roman"/>
          <w:sz w:val="22"/>
          <w:szCs w:val="22"/>
        </w:rPr>
        <w:t xml:space="preserve"> </w:t>
      </w:r>
      <w:proofErr w:type="gramStart"/>
      <w:r w:rsidRPr="006A4160">
        <w:rPr>
          <w:rFonts w:ascii="Times New Roman" w:hAnsi="Times New Roman" w:cs="Times New Roman"/>
          <w:sz w:val="22"/>
          <w:szCs w:val="22"/>
        </w:rPr>
        <w:t>underpins</w:t>
      </w:r>
      <w:proofErr w:type="gramEnd"/>
      <w:r w:rsidRPr="006A4160">
        <w:rPr>
          <w:rFonts w:ascii="Times New Roman" w:hAnsi="Times New Roman" w:cs="Times New Roman"/>
          <w:sz w:val="22"/>
          <w:szCs w:val="22"/>
        </w:rPr>
        <w:t xml:space="preserve"> NHI</w:t>
      </w:r>
      <w:r w:rsidR="00290D84">
        <w:rPr>
          <w:rFonts w:ascii="Times New Roman" w:hAnsi="Times New Roman" w:cs="Times New Roman"/>
          <w:sz w:val="22"/>
          <w:szCs w:val="22"/>
        </w:rPr>
        <w:t xml:space="preserve"> Information Systems f</w:t>
      </w:r>
      <w:r w:rsidR="00290D84" w:rsidRPr="006A4160">
        <w:rPr>
          <w:rFonts w:ascii="Times New Roman" w:hAnsi="Times New Roman" w:cs="Times New Roman"/>
          <w:sz w:val="22"/>
          <w:szCs w:val="22"/>
        </w:rPr>
        <w:t>unctionality</w:t>
      </w:r>
      <w:r w:rsidR="00290D84">
        <w:rPr>
          <w:rFonts w:ascii="Times New Roman" w:hAnsi="Times New Roman" w:cs="Times New Roman"/>
          <w:sz w:val="22"/>
          <w:szCs w:val="22"/>
        </w:rPr>
        <w:t>.</w:t>
      </w:r>
      <w:r w:rsidRPr="006A4160">
        <w:rPr>
          <w:rFonts w:ascii="Times New Roman" w:hAnsi="Times New Roman" w:cs="Times New Roman"/>
          <w:sz w:val="22"/>
          <w:szCs w:val="22"/>
        </w:rPr>
        <w:t xml:space="preserve"> </w:t>
      </w:r>
    </w:p>
    <w:p w14:paraId="5C8507D1" w14:textId="77777777" w:rsidR="006A4160" w:rsidRPr="006A4160" w:rsidRDefault="006A4160" w:rsidP="00CF7455">
      <w:pPr>
        <w:spacing w:before="0" w:beforeAutospacing="0"/>
        <w:ind w:left="0"/>
        <w:jc w:val="both"/>
        <w:rPr>
          <w:rFonts w:ascii="Times New Roman" w:hAnsi="Times New Roman" w:cs="Times New Roman"/>
          <w:sz w:val="22"/>
          <w:szCs w:val="22"/>
        </w:rPr>
      </w:pPr>
    </w:p>
    <w:p w14:paraId="3725B024" w14:textId="77777777" w:rsidR="00290D84" w:rsidRDefault="006A4160" w:rsidP="00CF7455">
      <w:pPr>
        <w:spacing w:before="0" w:beforeAutospacing="0"/>
        <w:ind w:left="0"/>
        <w:jc w:val="both"/>
        <w:rPr>
          <w:rFonts w:ascii="Times New Roman" w:hAnsi="Times New Roman" w:cs="Times New Roman"/>
          <w:sz w:val="22"/>
          <w:szCs w:val="22"/>
        </w:rPr>
      </w:pPr>
      <w:r w:rsidRPr="006A4160">
        <w:rPr>
          <w:rFonts w:ascii="Times New Roman" w:hAnsi="Times New Roman" w:cs="Times New Roman"/>
          <w:sz w:val="22"/>
          <w:szCs w:val="22"/>
        </w:rPr>
        <w:t xml:space="preserve">IHM intends to undertake the </w:t>
      </w:r>
      <w:r w:rsidR="00290D84">
        <w:rPr>
          <w:rFonts w:ascii="Times New Roman" w:hAnsi="Times New Roman" w:cs="Times New Roman"/>
          <w:sz w:val="22"/>
          <w:szCs w:val="22"/>
        </w:rPr>
        <w:t xml:space="preserve">DFS </w:t>
      </w:r>
      <w:r w:rsidRPr="006A4160">
        <w:rPr>
          <w:rFonts w:ascii="Times New Roman" w:hAnsi="Times New Roman" w:cs="Times New Roman"/>
          <w:sz w:val="22"/>
          <w:szCs w:val="22"/>
        </w:rPr>
        <w:t xml:space="preserve">assessment in collaboration with the </w:t>
      </w:r>
      <w:r w:rsidR="00290D84">
        <w:rPr>
          <w:rFonts w:ascii="Times New Roman" w:hAnsi="Times New Roman" w:cs="Times New Roman"/>
          <w:sz w:val="22"/>
          <w:szCs w:val="22"/>
        </w:rPr>
        <w:t xml:space="preserve">nascent NHI Authority and </w:t>
      </w:r>
      <w:r w:rsidRPr="006A4160">
        <w:rPr>
          <w:rFonts w:ascii="Times New Roman" w:hAnsi="Times New Roman" w:cs="Times New Roman"/>
          <w:sz w:val="22"/>
          <w:szCs w:val="22"/>
        </w:rPr>
        <w:t>Zambia Information Communication Authority (ZICTA) which is the government statutory body responsible for regulation Mobile Network Operators including mobile money services</w:t>
      </w:r>
      <w:r w:rsidR="00290D84">
        <w:rPr>
          <w:rFonts w:ascii="Times New Roman" w:hAnsi="Times New Roman" w:cs="Times New Roman"/>
          <w:sz w:val="22"/>
          <w:szCs w:val="22"/>
        </w:rPr>
        <w:t>.</w:t>
      </w:r>
      <w:r w:rsidRPr="006A4160">
        <w:rPr>
          <w:rFonts w:ascii="Times New Roman" w:hAnsi="Times New Roman" w:cs="Times New Roman"/>
          <w:sz w:val="22"/>
          <w:szCs w:val="22"/>
        </w:rPr>
        <w:t xml:space="preserve"> While it would be </w:t>
      </w:r>
      <w:r w:rsidR="00290D84">
        <w:rPr>
          <w:rFonts w:ascii="Times New Roman" w:hAnsi="Times New Roman" w:cs="Times New Roman"/>
          <w:sz w:val="22"/>
          <w:szCs w:val="22"/>
        </w:rPr>
        <w:t>most</w:t>
      </w:r>
      <w:r w:rsidRPr="006A4160">
        <w:rPr>
          <w:rFonts w:ascii="Times New Roman" w:hAnsi="Times New Roman" w:cs="Times New Roman"/>
          <w:sz w:val="22"/>
          <w:szCs w:val="22"/>
        </w:rPr>
        <w:t xml:space="preserve"> desirable to include the </w:t>
      </w:r>
      <w:r w:rsidR="00290D84">
        <w:rPr>
          <w:rFonts w:ascii="Times New Roman" w:hAnsi="Times New Roman" w:cs="Times New Roman"/>
          <w:sz w:val="22"/>
          <w:szCs w:val="22"/>
        </w:rPr>
        <w:t xml:space="preserve">Mobile Money </w:t>
      </w:r>
      <w:r w:rsidRPr="006A4160">
        <w:rPr>
          <w:rFonts w:ascii="Times New Roman" w:hAnsi="Times New Roman" w:cs="Times New Roman"/>
          <w:sz w:val="22"/>
          <w:szCs w:val="22"/>
        </w:rPr>
        <w:t xml:space="preserve">service providers, given the competitive and proprietary nature of the services to be assessment, IHM </w:t>
      </w:r>
      <w:r w:rsidR="00290D84">
        <w:rPr>
          <w:rFonts w:ascii="Times New Roman" w:hAnsi="Times New Roman" w:cs="Times New Roman"/>
          <w:sz w:val="22"/>
          <w:szCs w:val="22"/>
        </w:rPr>
        <w:t>proposes</w:t>
      </w:r>
      <w:r w:rsidRPr="006A4160">
        <w:rPr>
          <w:rFonts w:ascii="Times New Roman" w:hAnsi="Times New Roman" w:cs="Times New Roman"/>
          <w:sz w:val="22"/>
          <w:szCs w:val="22"/>
        </w:rPr>
        <w:t xml:space="preserve"> ZICTA as the assessment partner </w:t>
      </w:r>
      <w:r w:rsidR="00290D84">
        <w:rPr>
          <w:rFonts w:ascii="Times New Roman" w:hAnsi="Times New Roman" w:cs="Times New Roman"/>
          <w:sz w:val="22"/>
          <w:szCs w:val="22"/>
        </w:rPr>
        <w:t>as it</w:t>
      </w:r>
      <w:r w:rsidRPr="006A4160">
        <w:rPr>
          <w:rFonts w:ascii="Times New Roman" w:hAnsi="Times New Roman" w:cs="Times New Roman"/>
          <w:sz w:val="22"/>
          <w:szCs w:val="22"/>
        </w:rPr>
        <w:t xml:space="preserve"> </w:t>
      </w:r>
      <w:r w:rsidR="00290D84">
        <w:rPr>
          <w:rFonts w:ascii="Times New Roman" w:hAnsi="Times New Roman" w:cs="Times New Roman"/>
          <w:sz w:val="22"/>
          <w:szCs w:val="22"/>
        </w:rPr>
        <w:t xml:space="preserve">is an </w:t>
      </w:r>
      <w:r w:rsidR="00290D84" w:rsidRPr="006A4160">
        <w:rPr>
          <w:rFonts w:ascii="Times New Roman" w:hAnsi="Times New Roman" w:cs="Times New Roman"/>
          <w:sz w:val="22"/>
          <w:szCs w:val="22"/>
        </w:rPr>
        <w:t xml:space="preserve">independent </w:t>
      </w:r>
      <w:r w:rsidR="00290D84">
        <w:rPr>
          <w:rFonts w:ascii="Times New Roman" w:hAnsi="Times New Roman" w:cs="Times New Roman"/>
          <w:sz w:val="22"/>
          <w:szCs w:val="22"/>
        </w:rPr>
        <w:t xml:space="preserve">entity that </w:t>
      </w:r>
      <w:r w:rsidRPr="006A4160">
        <w:rPr>
          <w:rFonts w:ascii="Times New Roman" w:hAnsi="Times New Roman" w:cs="Times New Roman"/>
          <w:sz w:val="22"/>
          <w:szCs w:val="22"/>
        </w:rPr>
        <w:t xml:space="preserve">provides </w:t>
      </w:r>
      <w:r w:rsidR="00290D84">
        <w:rPr>
          <w:rFonts w:ascii="Times New Roman" w:hAnsi="Times New Roman" w:cs="Times New Roman"/>
          <w:sz w:val="22"/>
          <w:szCs w:val="22"/>
        </w:rPr>
        <w:t xml:space="preserve">the legislative engagement channel through its </w:t>
      </w:r>
      <w:r w:rsidR="00290D84" w:rsidRPr="006A4160">
        <w:rPr>
          <w:rFonts w:ascii="Times New Roman" w:hAnsi="Times New Roman" w:cs="Times New Roman"/>
          <w:sz w:val="22"/>
          <w:szCs w:val="22"/>
        </w:rPr>
        <w:t xml:space="preserve">regulatory mandate </w:t>
      </w:r>
      <w:r w:rsidR="00290D84">
        <w:rPr>
          <w:rFonts w:ascii="Times New Roman" w:hAnsi="Times New Roman" w:cs="Times New Roman"/>
          <w:sz w:val="22"/>
          <w:szCs w:val="22"/>
        </w:rPr>
        <w:t>that provides for  periodic reviews of its Value Addition Services licensing</w:t>
      </w:r>
      <w:r w:rsidR="00290D84">
        <w:rPr>
          <w:rStyle w:val="FootnoteReference"/>
          <w:rFonts w:ascii="Times New Roman" w:hAnsi="Times New Roman" w:cs="Times New Roman"/>
          <w:sz w:val="22"/>
          <w:szCs w:val="22"/>
        </w:rPr>
        <w:footnoteReference w:id="1"/>
      </w:r>
      <w:r w:rsidR="00290D84">
        <w:rPr>
          <w:rFonts w:ascii="Times New Roman" w:hAnsi="Times New Roman" w:cs="Times New Roman"/>
          <w:sz w:val="22"/>
          <w:szCs w:val="22"/>
        </w:rPr>
        <w:t xml:space="preserve"> to MNOs and is also </w:t>
      </w:r>
      <w:r w:rsidR="00290D84" w:rsidRPr="006A4160">
        <w:rPr>
          <w:rFonts w:ascii="Times New Roman" w:hAnsi="Times New Roman" w:cs="Times New Roman"/>
          <w:sz w:val="22"/>
          <w:szCs w:val="22"/>
        </w:rPr>
        <w:t xml:space="preserve">transparent </w:t>
      </w:r>
      <w:r w:rsidR="00290D84">
        <w:rPr>
          <w:rFonts w:ascii="Times New Roman" w:hAnsi="Times New Roman" w:cs="Times New Roman"/>
          <w:sz w:val="22"/>
          <w:szCs w:val="22"/>
        </w:rPr>
        <w:t xml:space="preserve">interactive </w:t>
      </w:r>
      <w:r w:rsidRPr="006A4160">
        <w:rPr>
          <w:rFonts w:ascii="Times New Roman" w:hAnsi="Times New Roman" w:cs="Times New Roman"/>
          <w:sz w:val="22"/>
          <w:szCs w:val="22"/>
        </w:rPr>
        <w:t xml:space="preserve">platform </w:t>
      </w:r>
      <w:r w:rsidR="00290D84">
        <w:rPr>
          <w:rFonts w:ascii="Times New Roman" w:hAnsi="Times New Roman" w:cs="Times New Roman"/>
          <w:sz w:val="22"/>
          <w:szCs w:val="22"/>
        </w:rPr>
        <w:t>with MNOs that will</w:t>
      </w:r>
      <w:r w:rsidRPr="006A4160">
        <w:rPr>
          <w:rFonts w:ascii="Times New Roman" w:hAnsi="Times New Roman" w:cs="Times New Roman"/>
          <w:sz w:val="22"/>
          <w:szCs w:val="22"/>
        </w:rPr>
        <w:t xml:space="preserve"> allow for </w:t>
      </w:r>
      <w:r>
        <w:rPr>
          <w:rFonts w:ascii="Times New Roman" w:hAnsi="Times New Roman" w:cs="Times New Roman"/>
          <w:sz w:val="22"/>
          <w:szCs w:val="22"/>
        </w:rPr>
        <w:t>access to sensitive information</w:t>
      </w:r>
      <w:r w:rsidR="00290D84">
        <w:rPr>
          <w:rFonts w:ascii="Times New Roman" w:hAnsi="Times New Roman" w:cs="Times New Roman"/>
          <w:sz w:val="22"/>
          <w:szCs w:val="22"/>
        </w:rPr>
        <w:t xml:space="preserve"> such as MNO client databases.</w:t>
      </w:r>
      <w:r w:rsidRPr="006A4160">
        <w:rPr>
          <w:rFonts w:ascii="Times New Roman" w:hAnsi="Times New Roman" w:cs="Times New Roman"/>
          <w:sz w:val="22"/>
          <w:szCs w:val="22"/>
        </w:rPr>
        <w:t xml:space="preserve"> IHM will also explore the feasibility of incorporating the </w:t>
      </w:r>
      <w:r w:rsidRPr="004E2E85">
        <w:rPr>
          <w:rFonts w:ascii="Times New Roman" w:hAnsi="Times New Roman" w:cs="Times New Roman"/>
          <w:sz w:val="22"/>
          <w:szCs w:val="22"/>
        </w:rPr>
        <w:t>Bank of Zambia</w:t>
      </w:r>
      <w:r w:rsidRPr="006A4160">
        <w:rPr>
          <w:rFonts w:ascii="Times New Roman" w:hAnsi="Times New Roman" w:cs="Times New Roman"/>
          <w:b/>
          <w:bCs/>
          <w:sz w:val="22"/>
          <w:szCs w:val="22"/>
        </w:rPr>
        <w:t xml:space="preserve"> </w:t>
      </w:r>
      <w:r w:rsidRPr="006A4160">
        <w:rPr>
          <w:rFonts w:ascii="Times New Roman" w:hAnsi="Times New Roman" w:cs="Times New Roman"/>
          <w:sz w:val="22"/>
          <w:szCs w:val="22"/>
        </w:rPr>
        <w:t xml:space="preserve">as a </w:t>
      </w:r>
      <w:r w:rsidR="00290D84">
        <w:rPr>
          <w:rFonts w:ascii="Times New Roman" w:hAnsi="Times New Roman" w:cs="Times New Roman"/>
          <w:sz w:val="22"/>
          <w:szCs w:val="22"/>
        </w:rPr>
        <w:t>resource partner to</w:t>
      </w:r>
      <w:r w:rsidRPr="006A4160">
        <w:rPr>
          <w:rFonts w:ascii="Times New Roman" w:hAnsi="Times New Roman" w:cs="Times New Roman"/>
          <w:sz w:val="22"/>
          <w:szCs w:val="22"/>
        </w:rPr>
        <w:t xml:space="preserve"> provid</w:t>
      </w:r>
      <w:r w:rsidR="00290D84">
        <w:rPr>
          <w:rFonts w:ascii="Times New Roman" w:hAnsi="Times New Roman" w:cs="Times New Roman"/>
          <w:sz w:val="22"/>
          <w:szCs w:val="22"/>
        </w:rPr>
        <w:t>e</w:t>
      </w:r>
      <w:r w:rsidRPr="006A4160">
        <w:rPr>
          <w:rFonts w:ascii="Times New Roman" w:hAnsi="Times New Roman" w:cs="Times New Roman"/>
          <w:sz w:val="22"/>
          <w:szCs w:val="22"/>
        </w:rPr>
        <w:t xml:space="preserve"> legislative requirements from a monetary policy perspective</w:t>
      </w:r>
      <w:r w:rsidR="00290D84">
        <w:rPr>
          <w:rFonts w:ascii="Times New Roman" w:hAnsi="Times New Roman" w:cs="Times New Roman"/>
          <w:sz w:val="22"/>
          <w:szCs w:val="22"/>
        </w:rPr>
        <w:t xml:space="preserve">. </w:t>
      </w:r>
    </w:p>
    <w:p w14:paraId="12E83D70" w14:textId="77777777" w:rsidR="00290D84" w:rsidRDefault="00290D84" w:rsidP="00CF7455">
      <w:pPr>
        <w:spacing w:before="0" w:beforeAutospacing="0"/>
        <w:ind w:left="0"/>
        <w:jc w:val="both"/>
        <w:rPr>
          <w:rFonts w:ascii="Times New Roman" w:hAnsi="Times New Roman" w:cs="Times New Roman"/>
          <w:sz w:val="22"/>
          <w:szCs w:val="22"/>
        </w:rPr>
      </w:pPr>
    </w:p>
    <w:p w14:paraId="0CAEAF3F" w14:textId="0D04D766" w:rsidR="006A4160" w:rsidRDefault="00290D84" w:rsidP="00CF7455">
      <w:pPr>
        <w:spacing w:before="0" w:beforeAutospacing="0"/>
        <w:ind w:left="0"/>
        <w:jc w:val="both"/>
        <w:rPr>
          <w:rFonts w:ascii="Times New Roman" w:hAnsi="Times New Roman" w:cs="Times New Roman"/>
          <w:sz w:val="22"/>
          <w:szCs w:val="22"/>
        </w:rPr>
      </w:pPr>
      <w:r>
        <w:rPr>
          <w:rFonts w:ascii="Times New Roman" w:hAnsi="Times New Roman" w:cs="Times New Roman"/>
          <w:sz w:val="22"/>
          <w:szCs w:val="22"/>
        </w:rPr>
        <w:t xml:space="preserve">The research team will be led by Dr </w:t>
      </w:r>
      <w:proofErr w:type="spellStart"/>
      <w:r>
        <w:rPr>
          <w:rFonts w:ascii="Times New Roman" w:hAnsi="Times New Roman" w:cs="Times New Roman"/>
          <w:sz w:val="22"/>
          <w:szCs w:val="22"/>
        </w:rPr>
        <w:t>Mpuma</w:t>
      </w:r>
      <w:proofErr w:type="spellEnd"/>
      <w:r>
        <w:rPr>
          <w:rFonts w:ascii="Times New Roman" w:hAnsi="Times New Roman" w:cs="Times New Roman"/>
          <w:sz w:val="22"/>
          <w:szCs w:val="22"/>
        </w:rPr>
        <w:t xml:space="preserve"> Kamanga, a well-rounded public health clinician and health economist with over 18 years’ experience and lead policy designer of the National Health Insurance Act. Dr Kamanga has extensive experience in developing and implementing health systems projects across Africa with a strong track record in Health Financing. He has led and supported various national and international research projects in health systems strengthening initiatives. He holds a Bachelor of Medicine and Surgery (University of Zambia) and a master’s in public health economics University of Cape Town and is currently Director of Special Duties (Health Economics) at the Ministry of Health. The assessment will be co-led by Dr Kamanga and Mr Kunda   </w:t>
      </w:r>
    </w:p>
    <w:p w14:paraId="4F2B41CC" w14:textId="77777777" w:rsidR="00290D84" w:rsidRDefault="00290D84" w:rsidP="00CF7455">
      <w:pPr>
        <w:spacing w:before="0" w:beforeAutospacing="0"/>
        <w:ind w:left="0"/>
        <w:jc w:val="both"/>
        <w:rPr>
          <w:rFonts w:ascii="Times New Roman" w:hAnsi="Times New Roman" w:cs="Times New Roman"/>
          <w:sz w:val="22"/>
          <w:szCs w:val="22"/>
        </w:rPr>
      </w:pPr>
    </w:p>
    <w:p w14:paraId="2506FEDD" w14:textId="0751E605" w:rsidR="00840783" w:rsidRDefault="00290D84" w:rsidP="00CF7455">
      <w:pPr>
        <w:spacing w:before="0" w:beforeAutospacing="0"/>
        <w:ind w:left="0"/>
        <w:jc w:val="both"/>
        <w:rPr>
          <w:rFonts w:ascii="Times New Roman" w:hAnsi="Times New Roman" w:cs="Times New Roman"/>
          <w:sz w:val="22"/>
          <w:szCs w:val="22"/>
        </w:rPr>
      </w:pPr>
      <w:r>
        <w:rPr>
          <w:rFonts w:ascii="Times New Roman" w:hAnsi="Times New Roman" w:cs="Times New Roman"/>
          <w:sz w:val="22"/>
          <w:szCs w:val="22"/>
        </w:rPr>
        <w:t xml:space="preserve">Mr William Kunda is an accomplished IT project Manager and Senior Software Engineer. Mr Kunda has extensive hands-on experience in designing and leading Software development projects and has strong competencies in interoperability and integration of software systems. He is the lead architect and Project manager for the recently launching National Health Data Ware House, a first of its kind project that stores multiple data sets from various disparate patient- and aggregate-level systems across the different sub-sectors of the health system.  Prior to joining, Mr Kunda was the Software Engineering Manager for Barclays group Africa (ABSA Bank) where he oversaw the design and execution of various new and innovative Digital Financial Services. Contractually, the assessment will be overseen by the CEO of IHM, Mr Kelvin </w:t>
      </w:r>
      <w:proofErr w:type="spellStart"/>
      <w:r>
        <w:rPr>
          <w:rFonts w:ascii="Times New Roman" w:hAnsi="Times New Roman" w:cs="Times New Roman"/>
          <w:sz w:val="22"/>
          <w:szCs w:val="22"/>
        </w:rPr>
        <w:t>Sikwibele</w:t>
      </w:r>
      <w:proofErr w:type="spellEnd"/>
      <w:r>
        <w:rPr>
          <w:rFonts w:ascii="Times New Roman" w:hAnsi="Times New Roman" w:cs="Times New Roman"/>
          <w:sz w:val="22"/>
          <w:szCs w:val="22"/>
        </w:rPr>
        <w:t xml:space="preserve">, a public health expert with over 20 years’ experience in </w:t>
      </w:r>
      <w:r w:rsidR="004E2E85">
        <w:rPr>
          <w:rFonts w:ascii="Times New Roman" w:hAnsi="Times New Roman" w:cs="Times New Roman"/>
          <w:sz w:val="22"/>
          <w:szCs w:val="22"/>
        </w:rPr>
        <w:t xml:space="preserve">Health Systems </w:t>
      </w:r>
      <w:r>
        <w:rPr>
          <w:rFonts w:ascii="Times New Roman" w:hAnsi="Times New Roman" w:cs="Times New Roman"/>
          <w:sz w:val="22"/>
          <w:szCs w:val="22"/>
        </w:rPr>
        <w:t>program design and implementation</w:t>
      </w:r>
    </w:p>
    <w:p w14:paraId="3982BE3A" w14:textId="578F06DC" w:rsidR="006A4160" w:rsidRPr="006A4160" w:rsidRDefault="006A4160" w:rsidP="00CF7455">
      <w:pPr>
        <w:spacing w:before="0" w:beforeAutospacing="0"/>
        <w:ind w:left="0"/>
        <w:jc w:val="both"/>
        <w:rPr>
          <w:rFonts w:ascii="Times New Roman" w:hAnsi="Times New Roman" w:cs="Times New Roman"/>
          <w:sz w:val="22"/>
          <w:szCs w:val="22"/>
        </w:rPr>
      </w:pPr>
      <w:r w:rsidRPr="006A4160">
        <w:rPr>
          <w:rFonts w:ascii="Times New Roman" w:eastAsia="Times New Roman" w:hAnsi="Times New Roman" w:cs="Times New Roman"/>
          <w:color w:val="B54617"/>
          <w:sz w:val="29"/>
          <w:szCs w:val="29"/>
        </w:rPr>
        <w:lastRenderedPageBreak/>
        <w:t>Project Description</w:t>
      </w:r>
    </w:p>
    <w:p w14:paraId="395996A3" w14:textId="77777777" w:rsidR="006A4160" w:rsidRPr="006A4160" w:rsidRDefault="006A4160" w:rsidP="00CF7455">
      <w:pPr>
        <w:spacing w:before="0" w:beforeAutospacing="0"/>
        <w:ind w:left="0"/>
        <w:jc w:val="both"/>
        <w:rPr>
          <w:rFonts w:ascii="Times New Roman" w:eastAsia="Times New Roman" w:hAnsi="Times New Roman" w:cs="Times New Roman"/>
          <w:color w:val="000000"/>
          <w:sz w:val="22"/>
          <w:szCs w:val="22"/>
        </w:rPr>
      </w:pPr>
    </w:p>
    <w:p w14:paraId="124FA4A2" w14:textId="77777777" w:rsidR="006A4160" w:rsidRPr="006A4160" w:rsidRDefault="006A4160" w:rsidP="00CF7455">
      <w:pPr>
        <w:spacing w:before="0" w:beforeAutospacing="0"/>
        <w:ind w:left="0"/>
        <w:jc w:val="both"/>
        <w:outlineLvl w:val="4"/>
        <w:rPr>
          <w:rFonts w:ascii="Times New Roman" w:eastAsia="Times New Roman" w:hAnsi="Times New Roman" w:cs="Times New Roman"/>
          <w:color w:val="B54617"/>
          <w:sz w:val="26"/>
          <w:szCs w:val="26"/>
        </w:rPr>
      </w:pPr>
      <w:r w:rsidRPr="006A4160">
        <w:rPr>
          <w:rFonts w:ascii="Times New Roman" w:eastAsia="Times New Roman" w:hAnsi="Times New Roman" w:cs="Times New Roman"/>
          <w:color w:val="B54617"/>
          <w:sz w:val="26"/>
          <w:szCs w:val="26"/>
        </w:rPr>
        <w:t>1. Problem statement</w:t>
      </w:r>
    </w:p>
    <w:p w14:paraId="058F3B34" w14:textId="186C2F11" w:rsidR="006A4160" w:rsidRDefault="006A4160" w:rsidP="00CF7455">
      <w:pPr>
        <w:pStyle w:val="NormalWeb"/>
        <w:spacing w:before="0" w:beforeAutospacing="0" w:after="0" w:afterAutospacing="0"/>
        <w:jc w:val="both"/>
      </w:pPr>
      <w:r w:rsidRPr="006A4160">
        <w:t xml:space="preserve">The introduction of the Zambia National Health Insurance (NHI) in 2018 aims to provide for sound financing for the national health systems as well as provide for universal access to quality insured health care services (NHI Act No. 2 of 2018). </w:t>
      </w:r>
      <w:r w:rsidRPr="006A4160">
        <w:rPr>
          <w:color w:val="000000"/>
        </w:rPr>
        <w:t>The NHI will run on the</w:t>
      </w:r>
      <w:r w:rsidRPr="00E95CEC">
        <w:rPr>
          <w:color w:val="000000"/>
        </w:rPr>
        <w:t xml:space="preserve"> guiding principles of </w:t>
      </w:r>
      <w:r w:rsidRPr="006A4160">
        <w:rPr>
          <w:color w:val="000000"/>
        </w:rPr>
        <w:t>the “</w:t>
      </w:r>
      <w:r w:rsidRPr="00E95CEC">
        <w:rPr>
          <w:color w:val="000000"/>
        </w:rPr>
        <w:t>Solidarity</w:t>
      </w:r>
      <w:r w:rsidRPr="006A4160">
        <w:rPr>
          <w:color w:val="000000"/>
        </w:rPr>
        <w:t xml:space="preserve"> Model”</w:t>
      </w:r>
      <w:r w:rsidRPr="006A4160">
        <w:rPr>
          <w:rStyle w:val="FootnoteReference"/>
          <w:color w:val="000000"/>
        </w:rPr>
        <w:footnoteReference w:id="2"/>
      </w:r>
      <w:r w:rsidRPr="00E95CEC">
        <w:rPr>
          <w:color w:val="000000"/>
        </w:rPr>
        <w:t>- those who contribute to the scheme will cross subsidize the poor,</w:t>
      </w:r>
      <w:r w:rsidRPr="006A4160">
        <w:rPr>
          <w:color w:val="000000"/>
        </w:rPr>
        <w:t xml:space="preserve"> </w:t>
      </w:r>
      <w:r w:rsidRPr="00E95CEC">
        <w:rPr>
          <w:color w:val="000000"/>
        </w:rPr>
        <w:t>old and vulnerable</w:t>
      </w:r>
      <w:r w:rsidRPr="006A4160">
        <w:rPr>
          <w:color w:val="000000"/>
        </w:rPr>
        <w:t xml:space="preserve"> i.e. </w:t>
      </w:r>
      <w:r w:rsidRPr="00E95CEC">
        <w:rPr>
          <w:color w:val="000000"/>
        </w:rPr>
        <w:t xml:space="preserve">based on </w:t>
      </w:r>
      <w:r w:rsidRPr="006A4160">
        <w:rPr>
          <w:color w:val="000000"/>
        </w:rPr>
        <w:t xml:space="preserve">one’s </w:t>
      </w:r>
      <w:r w:rsidRPr="00E95CEC">
        <w:rPr>
          <w:color w:val="000000"/>
        </w:rPr>
        <w:t>ability to pay</w:t>
      </w:r>
      <w:r w:rsidRPr="006A4160">
        <w:rPr>
          <w:color w:val="000000"/>
        </w:rPr>
        <w:t>.</w:t>
      </w:r>
      <w:r w:rsidRPr="006A4160">
        <w:t xml:space="preserve"> The NHI Act (No. 2 of 2018) and Statutory Instrument (S.I No. 63 of 2019 – NHI General Regulations) outlines that mandatory contributions by citizens and permanent residents in the formal sector “employees and employer” category shall be 1% of the member’s basic salary. For those that are self-employed (including the informal sector who are the majority of this category), their contributions shall be “1% of self-declared income (S.I No. 63 of 2019 – NHI General Regulations). With an approximate population of 16.8 million in 2017, Zambia’s working </w:t>
      </w:r>
      <w:r w:rsidRPr="00E95CEC">
        <w:t xml:space="preserve">age population (15 years or older) </w:t>
      </w:r>
      <w:r w:rsidRPr="006A4160">
        <w:t>i</w:t>
      </w:r>
      <w:r w:rsidRPr="00E95CEC">
        <w:t>s estimated at 9,056,840</w:t>
      </w:r>
      <w:r w:rsidRPr="006A4160">
        <w:t xml:space="preserve"> with an approximately one-third of this figure (2,971,170) being in actual employment (Central Statistical Office &amp; Ministry of Labour 2018). Of those “actual employed persons”, only 1,096,832 are in formal employment while the rest, approximately 60% are self-employed with the 95% of these being in the informal sector. </w:t>
      </w:r>
    </w:p>
    <w:p w14:paraId="09565D4C" w14:textId="77777777" w:rsidR="00840783" w:rsidRPr="006A4160" w:rsidRDefault="00840783" w:rsidP="00CF7455">
      <w:pPr>
        <w:pStyle w:val="NormalWeb"/>
        <w:spacing w:before="0" w:beforeAutospacing="0" w:after="0" w:afterAutospacing="0"/>
        <w:jc w:val="both"/>
      </w:pPr>
    </w:p>
    <w:p w14:paraId="3788D877" w14:textId="5145CFFA" w:rsidR="006A4160" w:rsidRDefault="006A4160" w:rsidP="00CF7455">
      <w:pPr>
        <w:pStyle w:val="NormalWeb"/>
        <w:spacing w:before="0" w:beforeAutospacing="0" w:after="0" w:afterAutospacing="0"/>
        <w:jc w:val="both"/>
      </w:pPr>
      <w:r w:rsidRPr="006A4160">
        <w:t xml:space="preserve">Other than formal sector employers and employees who are mandatorily registered with national income taxation and pension statutory entities (Zambia Revenue Authority and National Pension Scheme Authority), Zambia has no centralized repository or database to capture details of the informally employed (who constitute the majority of the self-employed category) let alone mechanisms or social security number to identify, track and enforce collection of NHI contributions. This entails that its current proposed state, the NHI contributions that are only effectively guaranteed to be collected will be made by 5% of the target population while the rest of the eligible proportion that are able to contribute towards NHI are expected to do so at their own accord i.e. report declared income and contribute 1% of this to the NHI. This scenario presents potential challenges that may hinder the success of the NHI in achieving its intended goals on multiple fronts including the sustainability of the NHI financing model premised on the “solidarity model” and is not currently equitable as puts in question the goal of ensuring quality health care service provision in all 2600+ health facilities across the country. </w:t>
      </w:r>
    </w:p>
    <w:p w14:paraId="7E487977" w14:textId="77777777" w:rsidR="00840783" w:rsidRPr="006A4160" w:rsidRDefault="00840783" w:rsidP="00CF7455">
      <w:pPr>
        <w:pStyle w:val="NormalWeb"/>
        <w:spacing w:before="0" w:beforeAutospacing="0" w:after="0" w:afterAutospacing="0"/>
        <w:jc w:val="both"/>
      </w:pPr>
    </w:p>
    <w:p w14:paraId="00892CED" w14:textId="5F3B346B" w:rsidR="006A4160" w:rsidRDefault="006A4160" w:rsidP="00CF7455">
      <w:pPr>
        <w:pStyle w:val="NormalWeb"/>
        <w:spacing w:before="0" w:beforeAutospacing="0" w:after="0" w:afterAutospacing="0"/>
        <w:jc w:val="both"/>
      </w:pPr>
      <w:r w:rsidRPr="006A4160">
        <w:t>The high proportion of employment informality raises many challenges to engage the informal sector in the rolled out National Health Insurance, as these workers and their dependents are not registered as owning or working in registered enterprises. While this situation presents a great a complexity in collecting contributions from this sector, Digital Financial Services particularly mobile money services offered by Mobile Network Operators (MNOs) have the potential to address this gap. DFS have largely been attributed as the engine for growth in broadening the scope and depth of money services to customers particularly the unbanked and poorer communities. (</w:t>
      </w:r>
      <w:proofErr w:type="spellStart"/>
      <w:r w:rsidRPr="006A4160">
        <w:t>Luwabelwa</w:t>
      </w:r>
      <w:proofErr w:type="spellEnd"/>
      <w:r w:rsidRPr="006A4160">
        <w:t>; 201</w:t>
      </w:r>
      <w:r w:rsidR="00840783">
        <w:t>7</w:t>
      </w:r>
      <w:r w:rsidRPr="006A4160">
        <w:t>)</w:t>
      </w:r>
    </w:p>
    <w:p w14:paraId="78A67095" w14:textId="77777777" w:rsidR="00840783" w:rsidRPr="006A4160" w:rsidRDefault="00840783" w:rsidP="00CF7455">
      <w:pPr>
        <w:pStyle w:val="NormalWeb"/>
        <w:spacing w:before="0" w:beforeAutospacing="0" w:after="0" w:afterAutospacing="0"/>
        <w:jc w:val="both"/>
      </w:pPr>
    </w:p>
    <w:p w14:paraId="72ADC9A2" w14:textId="7D56C954" w:rsidR="006A4160" w:rsidRDefault="006A4160" w:rsidP="00CF7455">
      <w:pPr>
        <w:pStyle w:val="NormalWeb"/>
        <w:spacing w:before="0" w:beforeAutospacing="0" w:after="0" w:afterAutospacing="0"/>
        <w:jc w:val="both"/>
      </w:pPr>
      <w:r w:rsidRPr="006A4160">
        <w:t xml:space="preserve">Digital Financial Services (DFS) have the potential to be the game-changer and play a critical role in capturing and expanding the NHI contributor member-base which has the resultant potential to increase the net revenue collection for the insurance scheme which in turn would impact on the quality to and access of improved health service delivery in public sector health </w:t>
      </w:r>
      <w:r w:rsidRPr="006A4160">
        <w:lastRenderedPageBreak/>
        <w:t xml:space="preserve">facilities.  Of the frequently used DFS, mobile money transactions are the most widely used services and over the past 5 years, these have exponentially increased both in terms of the array of services as well as penetration amongst the general populace, </w:t>
      </w:r>
      <w:proofErr w:type="spellStart"/>
      <w:r w:rsidRPr="006A4160">
        <w:t>particualry</w:t>
      </w:r>
      <w:proofErr w:type="spellEnd"/>
      <w:r w:rsidRPr="006A4160">
        <w:t xml:space="preserve"> among the informal sector who have traditional remained unbanked. </w:t>
      </w:r>
    </w:p>
    <w:p w14:paraId="0576A144" w14:textId="77777777" w:rsidR="00840783" w:rsidRPr="006A4160" w:rsidRDefault="00840783" w:rsidP="00CF7455">
      <w:pPr>
        <w:pStyle w:val="NormalWeb"/>
        <w:spacing w:before="0" w:beforeAutospacing="0" w:after="0" w:afterAutospacing="0"/>
        <w:jc w:val="both"/>
      </w:pPr>
    </w:p>
    <w:p w14:paraId="063AFBAE" w14:textId="77777777" w:rsidR="00CF7455" w:rsidRPr="006A4160" w:rsidRDefault="00CF7455" w:rsidP="00CF7455">
      <w:pPr>
        <w:spacing w:before="0" w:beforeAutospacing="0"/>
        <w:ind w:left="0"/>
        <w:jc w:val="both"/>
        <w:outlineLvl w:val="4"/>
        <w:rPr>
          <w:rFonts w:ascii="Times New Roman" w:eastAsia="Times New Roman" w:hAnsi="Times New Roman" w:cs="Times New Roman"/>
          <w:color w:val="B54617"/>
          <w:sz w:val="26"/>
          <w:szCs w:val="26"/>
        </w:rPr>
      </w:pPr>
      <w:r w:rsidRPr="006A4160">
        <w:rPr>
          <w:rFonts w:ascii="Times New Roman" w:eastAsia="Times New Roman" w:hAnsi="Times New Roman" w:cs="Times New Roman"/>
          <w:color w:val="B54617"/>
          <w:sz w:val="26"/>
          <w:szCs w:val="26"/>
        </w:rPr>
        <w:t>2. Approach</w:t>
      </w:r>
    </w:p>
    <w:p w14:paraId="1A18B0C7" w14:textId="01164B6D" w:rsidR="006A4160" w:rsidRPr="006A4160" w:rsidRDefault="006A4160" w:rsidP="00CF7455">
      <w:pPr>
        <w:pStyle w:val="NormalWeb"/>
        <w:spacing w:before="0" w:beforeAutospacing="0" w:after="0" w:afterAutospacing="0"/>
        <w:jc w:val="both"/>
      </w:pPr>
      <w:r w:rsidRPr="006A4160">
        <w:t xml:space="preserve">Recent estimates by the health sector cooperating partners suggest that based on the country’s GDP PPP of $1,500 from a formally employed workforce of 1 million people, the NHI would only collect approximately $15,000,000 annually while the total national annual health facility operational budget for service delivery including medical commodities is $150 million to $200 million. On the other hand, according to the ministry of Labour, the average income of informally employed persons per month is K2,400 ($184). If this proportion of the population contributes their portion toward NHI, there is a potential to raise and additional $20 million to 40 million dollars in insurance contributions annually. This can be achieved by partnering and collaborating with Mobile Money Service providers who’s over 4 million registered subscribes constitute a significant number of informally employed persons using their services for day to day transactions. Furthermore, the assessment will explore the feasibility of collaborating (through Public-Private Partnerships) with MNOs through their extensive network mobile money retail agents to achieve the to enroll the “self-employed” category to process enrollment, premium payment, policy administration, and communication using mobile money services. </w:t>
      </w:r>
    </w:p>
    <w:p w14:paraId="5F33C97A" w14:textId="77777777" w:rsidR="006A4160" w:rsidRPr="006A4160" w:rsidRDefault="006A4160" w:rsidP="00CF7455">
      <w:pPr>
        <w:pStyle w:val="NormalWeb"/>
        <w:spacing w:before="0" w:beforeAutospacing="0" w:after="0" w:afterAutospacing="0"/>
        <w:jc w:val="both"/>
      </w:pPr>
    </w:p>
    <w:p w14:paraId="5C855A38" w14:textId="1049F727" w:rsidR="006A4160" w:rsidRPr="006A4160" w:rsidRDefault="006A4160" w:rsidP="00CF7455">
      <w:pPr>
        <w:pStyle w:val="Header"/>
        <w:tabs>
          <w:tab w:val="clear" w:pos="4320"/>
          <w:tab w:val="clear" w:pos="8640"/>
          <w:tab w:val="left" w:pos="1755"/>
        </w:tabs>
        <w:jc w:val="both"/>
        <w:rPr>
          <w:sz w:val="24"/>
          <w:szCs w:val="24"/>
        </w:rPr>
      </w:pPr>
      <w:r w:rsidRPr="006A4160">
        <w:rPr>
          <w:sz w:val="24"/>
          <w:szCs w:val="24"/>
        </w:rPr>
        <w:t xml:space="preserve">The assessment would thus support the NHI </w:t>
      </w:r>
      <w:r>
        <w:rPr>
          <w:sz w:val="24"/>
          <w:szCs w:val="24"/>
        </w:rPr>
        <w:t xml:space="preserve">Authority </w:t>
      </w:r>
      <w:r w:rsidRPr="006A4160">
        <w:rPr>
          <w:sz w:val="24"/>
          <w:szCs w:val="24"/>
        </w:rPr>
        <w:t xml:space="preserve">to make informed decisions that will contribute towards reaching scale relatively quicker and have a sustainable and equitable financial contribution model by lowering operational costs and reducing inefficiencies of registration and member contributions collection that will make it  possible to undertake low-value, high volume transactions in a financial viable way that ensures the majority of the actual employed persons contribute towards the NHI. </w:t>
      </w:r>
    </w:p>
    <w:p w14:paraId="607FFC50" w14:textId="28FF7795" w:rsidR="006A4160" w:rsidRPr="006A4160" w:rsidRDefault="006A4160" w:rsidP="00CF7455">
      <w:pPr>
        <w:pStyle w:val="Header"/>
        <w:tabs>
          <w:tab w:val="clear" w:pos="4320"/>
          <w:tab w:val="clear" w:pos="8640"/>
          <w:tab w:val="left" w:pos="1755"/>
        </w:tabs>
        <w:jc w:val="both"/>
        <w:rPr>
          <w:sz w:val="24"/>
          <w:szCs w:val="24"/>
        </w:rPr>
      </w:pPr>
    </w:p>
    <w:p w14:paraId="5165A889" w14:textId="1978DA9F" w:rsidR="006A4160" w:rsidRPr="00840783" w:rsidRDefault="006A4160" w:rsidP="00CF7455">
      <w:pPr>
        <w:pStyle w:val="NormalWeb"/>
        <w:spacing w:before="0" w:beforeAutospacing="0" w:after="0" w:afterAutospacing="0"/>
        <w:jc w:val="both"/>
      </w:pPr>
      <w:r w:rsidRPr="006A4160">
        <w:t xml:space="preserve">In 2015, the Ministry of Health, as part of the preparatory efforts to inform the drafting of the National Health Insurance legislative </w:t>
      </w:r>
      <w:r w:rsidR="00840783">
        <w:t xml:space="preserve">and statutory </w:t>
      </w:r>
      <w:r w:rsidRPr="006A4160">
        <w:t>framework contracted a</w:t>
      </w:r>
      <w:r w:rsidR="00840783">
        <w:t xml:space="preserve">n </w:t>
      </w:r>
      <w:proofErr w:type="gramStart"/>
      <w:r w:rsidR="00840783">
        <w:t xml:space="preserve">independent </w:t>
      </w:r>
      <w:r w:rsidRPr="006A4160">
        <w:t xml:space="preserve"> consultant</w:t>
      </w:r>
      <w:proofErr w:type="gramEnd"/>
      <w:r w:rsidRPr="006A4160">
        <w:t xml:space="preserve"> to undertake a feasibility study of  the viability of a partnership with MNOs in NHI administration. While the consultant report outline various aspects relevant to the scope of work then, this assessment will build on these efforts with the specific goal of providing detailed information and possible options of how to collaborate with MNOs to achieve the NHI goals by increasing the member-contributor base and options for client facing interaction with NHI processes such as enrollment, premium payment, policy administration, and communication using mobile money services. </w:t>
      </w:r>
    </w:p>
    <w:p w14:paraId="65D51841" w14:textId="77777777" w:rsidR="006A4160" w:rsidRDefault="006A4160" w:rsidP="00CF7455">
      <w:pPr>
        <w:spacing w:before="0" w:beforeAutospacing="0"/>
        <w:ind w:left="0"/>
        <w:jc w:val="both"/>
        <w:outlineLvl w:val="4"/>
        <w:rPr>
          <w:rFonts w:ascii="Times New Roman" w:eastAsia="Times New Roman" w:hAnsi="Times New Roman" w:cs="Times New Roman"/>
          <w:color w:val="000000"/>
          <w:sz w:val="22"/>
          <w:szCs w:val="22"/>
        </w:rPr>
      </w:pPr>
    </w:p>
    <w:p w14:paraId="36CF3230" w14:textId="00F85264" w:rsidR="006A4160" w:rsidRPr="006A4160" w:rsidRDefault="00840783" w:rsidP="00CF7455">
      <w:pPr>
        <w:pStyle w:val="NormalWeb"/>
        <w:spacing w:before="0" w:beforeAutospacing="0" w:after="0" w:afterAutospacing="0"/>
        <w:jc w:val="both"/>
      </w:pPr>
      <w:r>
        <w:t xml:space="preserve">The </w:t>
      </w:r>
      <w:r w:rsidR="006A4160" w:rsidRPr="006A4160">
        <w:t xml:space="preserve">Achieving UHC through DFS assessment  has a specific goal of gathering and providing detailed information and possible options of how the NHI Authority should collaborate and/or partner with MNOs to achieve the NHI goals by increasing the member-contributor base population amongst the informally employed who are not captured and processed by ZRA for NHI monthly contributions. The assessment will </w:t>
      </w:r>
      <w:proofErr w:type="gramStart"/>
      <w:r w:rsidR="006A4160" w:rsidRPr="006A4160">
        <w:t>identifying</w:t>
      </w:r>
      <w:proofErr w:type="gramEnd"/>
      <w:r w:rsidR="006A4160" w:rsidRPr="006A4160">
        <w:t xml:space="preserve"> the most practical and cost effect solutions of the client-facing interaction processes (enrollment, premium payment, policy administration, and communication) through the use of mobile money services </w:t>
      </w:r>
    </w:p>
    <w:p w14:paraId="771E3B2F" w14:textId="5DD1740E" w:rsidR="006A4160" w:rsidRPr="006A4160" w:rsidRDefault="006A4160" w:rsidP="00CF7455">
      <w:pPr>
        <w:pStyle w:val="NormalWeb"/>
        <w:spacing w:before="0" w:beforeAutospacing="0" w:after="0" w:afterAutospacing="0"/>
        <w:jc w:val="both"/>
      </w:pPr>
    </w:p>
    <w:p w14:paraId="30630EA9" w14:textId="63363A17" w:rsidR="006A4160" w:rsidRPr="006A4160" w:rsidRDefault="006A4160" w:rsidP="00CF7455">
      <w:pPr>
        <w:pStyle w:val="NormalWeb"/>
        <w:numPr>
          <w:ilvl w:val="0"/>
          <w:numId w:val="11"/>
        </w:numPr>
        <w:spacing w:before="0" w:beforeAutospacing="0" w:after="0" w:afterAutospacing="0"/>
        <w:jc w:val="both"/>
      </w:pPr>
      <w:r w:rsidRPr="006A4160">
        <w:lastRenderedPageBreak/>
        <w:t>Review legislative framework and meet industry players to establish the extent to which the assessment can be undertake without breaching privacy and confidentiality or other statutory regulations</w:t>
      </w:r>
      <w:r w:rsidRPr="006A4160">
        <w:rPr>
          <w:rStyle w:val="FootnoteReference"/>
        </w:rPr>
        <w:footnoteReference w:id="3"/>
      </w:r>
      <w:r w:rsidRPr="006A4160">
        <w:t xml:space="preserve">. </w:t>
      </w:r>
    </w:p>
    <w:p w14:paraId="475E3233" w14:textId="43FE1E51" w:rsidR="006A4160" w:rsidRPr="006A4160" w:rsidRDefault="006A4160" w:rsidP="00CF7455">
      <w:pPr>
        <w:pStyle w:val="NormalWeb"/>
        <w:numPr>
          <w:ilvl w:val="0"/>
          <w:numId w:val="11"/>
        </w:numPr>
        <w:spacing w:before="0" w:beforeAutospacing="0" w:after="0" w:afterAutospacing="0"/>
        <w:jc w:val="both"/>
      </w:pPr>
      <w:r w:rsidRPr="006A4160">
        <w:t>Review of the current national NHI membership contributor database to establish critical baseline data that will inform the detailed activity schedule and structure of the assessment’s data elements to consider and be collected</w:t>
      </w:r>
      <w:r w:rsidRPr="006A4160">
        <w:rPr>
          <w:rStyle w:val="FootnoteReference"/>
        </w:rPr>
        <w:footnoteReference w:id="4"/>
      </w:r>
      <w:r w:rsidRPr="006A4160">
        <w:t xml:space="preserve"> </w:t>
      </w:r>
    </w:p>
    <w:p w14:paraId="05BD6BF0" w14:textId="77777777" w:rsidR="006A4160" w:rsidRPr="006A4160" w:rsidRDefault="006A4160" w:rsidP="00CF7455">
      <w:pPr>
        <w:pStyle w:val="NormalWeb"/>
        <w:numPr>
          <w:ilvl w:val="0"/>
          <w:numId w:val="11"/>
        </w:numPr>
        <w:spacing w:before="0" w:beforeAutospacing="0" w:after="0" w:afterAutospacing="0"/>
        <w:jc w:val="both"/>
      </w:pPr>
      <w:r w:rsidRPr="006A4160">
        <w:t>Develop algorithm to be applied on the various MNO’s mobile money services to identify and eliminate NHI members who are already enrolled and contributing premiums through ZRA and NAPSA in order to identify mobile money services users</w:t>
      </w:r>
    </w:p>
    <w:p w14:paraId="19D29792" w14:textId="24711EC2" w:rsidR="006A4160" w:rsidRPr="006A4160" w:rsidRDefault="006A4160" w:rsidP="00CF7455">
      <w:pPr>
        <w:pStyle w:val="NormalWeb"/>
        <w:numPr>
          <w:ilvl w:val="0"/>
          <w:numId w:val="11"/>
        </w:numPr>
        <w:spacing w:before="0" w:beforeAutospacing="0" w:after="0" w:afterAutospacing="0"/>
        <w:jc w:val="both"/>
      </w:pPr>
      <w:r w:rsidRPr="006A4160">
        <w:t>Develop protocol and algorithm to run data on mobile money user platforms against the national ZICTA mobile phone registered user database</w:t>
      </w:r>
      <w:r w:rsidRPr="006A4160">
        <w:rPr>
          <w:rStyle w:val="FootnoteReference"/>
        </w:rPr>
        <w:footnoteReference w:id="5"/>
      </w:r>
      <w:r w:rsidRPr="006A4160">
        <w:t xml:space="preserve"> to narrow down the potential new NHI membership base at household level.  </w:t>
      </w:r>
    </w:p>
    <w:p w14:paraId="22B5D05F" w14:textId="5B3A6C4B" w:rsidR="006A4160" w:rsidRPr="006A4160" w:rsidRDefault="006A4160" w:rsidP="00CF7455">
      <w:pPr>
        <w:pStyle w:val="NormalWeb"/>
        <w:numPr>
          <w:ilvl w:val="0"/>
          <w:numId w:val="11"/>
        </w:numPr>
        <w:spacing w:before="0" w:beforeAutospacing="0" w:after="0" w:afterAutospacing="0"/>
        <w:jc w:val="both"/>
      </w:pPr>
      <w:r w:rsidRPr="006A4160">
        <w:t xml:space="preserve">Develop guidelines and recommendations of further engagement with identified new/potential NHI contributors  </w:t>
      </w:r>
    </w:p>
    <w:p w14:paraId="04233E36" w14:textId="24751DB7" w:rsidR="006A4160" w:rsidRPr="006A4160" w:rsidRDefault="006A4160" w:rsidP="00CF7455">
      <w:pPr>
        <w:pStyle w:val="NormalWeb"/>
        <w:numPr>
          <w:ilvl w:val="0"/>
          <w:numId w:val="11"/>
        </w:numPr>
        <w:spacing w:before="0" w:beforeAutospacing="0" w:after="0" w:afterAutospacing="0"/>
        <w:jc w:val="both"/>
      </w:pPr>
      <w:r w:rsidRPr="006A4160">
        <w:t xml:space="preserve">Dependent on guidelines developed in No. 6 above and in collaboration with MNOs, the assessment will develop an NHI mobile administration prototype app to be used for member enrollment, premium payment, policy administration, and communication </w:t>
      </w:r>
    </w:p>
    <w:p w14:paraId="7181FA56" w14:textId="77777777" w:rsidR="00CF7455" w:rsidRDefault="00CF7455" w:rsidP="00CF7455">
      <w:pPr>
        <w:spacing w:before="0" w:beforeAutospacing="0"/>
        <w:ind w:left="0"/>
        <w:jc w:val="both"/>
        <w:outlineLvl w:val="4"/>
        <w:rPr>
          <w:rFonts w:ascii="Times New Roman" w:eastAsia="Times New Roman" w:hAnsi="Times New Roman" w:cs="Times New Roman"/>
          <w:color w:val="B54617"/>
          <w:sz w:val="26"/>
          <w:szCs w:val="26"/>
        </w:rPr>
      </w:pPr>
    </w:p>
    <w:p w14:paraId="38BA1660" w14:textId="379530E8" w:rsidR="006A4160" w:rsidRPr="006A4160" w:rsidRDefault="006A4160" w:rsidP="00CF7455">
      <w:pPr>
        <w:spacing w:before="0" w:beforeAutospacing="0"/>
        <w:ind w:left="0"/>
        <w:jc w:val="both"/>
        <w:outlineLvl w:val="4"/>
        <w:rPr>
          <w:rFonts w:ascii="Times New Roman" w:eastAsia="Times New Roman" w:hAnsi="Times New Roman" w:cs="Times New Roman"/>
          <w:color w:val="B54617"/>
          <w:sz w:val="26"/>
          <w:szCs w:val="26"/>
        </w:rPr>
      </w:pPr>
      <w:r w:rsidRPr="006A4160">
        <w:rPr>
          <w:rFonts w:ascii="Times New Roman" w:eastAsia="Times New Roman" w:hAnsi="Times New Roman" w:cs="Times New Roman"/>
          <w:color w:val="B54617"/>
          <w:sz w:val="26"/>
          <w:szCs w:val="26"/>
        </w:rPr>
        <w:t>Risk Mitigation</w:t>
      </w:r>
    </w:p>
    <w:p w14:paraId="7FFD9A48" w14:textId="27192DD4" w:rsidR="00E95CEC" w:rsidRPr="00CF7455" w:rsidRDefault="00CF7455" w:rsidP="00CF7455">
      <w:pPr>
        <w:pStyle w:val="ListParagraph"/>
        <w:numPr>
          <w:ilvl w:val="0"/>
          <w:numId w:val="12"/>
        </w:numPr>
        <w:spacing w:before="0" w:beforeAutospacing="0"/>
        <w:jc w:val="both"/>
        <w:rPr>
          <w:rFonts w:ascii="Times New Roman" w:hAnsi="Times New Roman" w:cs="Times New Roman"/>
        </w:rPr>
      </w:pPr>
      <w:r w:rsidRPr="00CF7455">
        <w:rPr>
          <w:rFonts w:ascii="Times New Roman" w:eastAsia="Times New Roman" w:hAnsi="Times New Roman" w:cs="Times New Roman"/>
          <w:color w:val="000000"/>
          <w:sz w:val="22"/>
          <w:szCs w:val="22"/>
        </w:rPr>
        <w:t>Politic</w:t>
      </w:r>
      <w:r>
        <w:rPr>
          <w:rFonts w:ascii="Times New Roman" w:eastAsia="Times New Roman" w:hAnsi="Times New Roman" w:cs="Times New Roman"/>
          <w:color w:val="000000"/>
          <w:sz w:val="22"/>
          <w:szCs w:val="22"/>
        </w:rPr>
        <w:t xml:space="preserve">al interreference </w:t>
      </w:r>
      <w:r w:rsidRPr="00CF7455">
        <w:rPr>
          <w:rFonts w:ascii="Times New Roman" w:eastAsia="Times New Roman" w:hAnsi="Times New Roman" w:cs="Times New Roman"/>
          <w:color w:val="000000"/>
          <w:sz w:val="22"/>
          <w:szCs w:val="22"/>
        </w:rPr>
        <w:t>of the asse</w:t>
      </w:r>
      <w:r>
        <w:rPr>
          <w:rFonts w:ascii="Times New Roman" w:eastAsia="Times New Roman" w:hAnsi="Times New Roman" w:cs="Times New Roman"/>
          <w:color w:val="000000"/>
          <w:sz w:val="22"/>
          <w:szCs w:val="22"/>
        </w:rPr>
        <w:t>ss</w:t>
      </w:r>
      <w:r w:rsidRPr="00CF7455">
        <w:rPr>
          <w:rFonts w:ascii="Times New Roman" w:eastAsia="Times New Roman" w:hAnsi="Times New Roman" w:cs="Times New Roman"/>
          <w:color w:val="000000"/>
          <w:sz w:val="22"/>
          <w:szCs w:val="22"/>
        </w:rPr>
        <w:t>ment</w:t>
      </w:r>
      <w:r>
        <w:rPr>
          <w:rFonts w:ascii="Times New Roman" w:eastAsia="Times New Roman" w:hAnsi="Times New Roman" w:cs="Times New Roman"/>
          <w:color w:val="000000"/>
          <w:sz w:val="22"/>
          <w:szCs w:val="22"/>
        </w:rPr>
        <w:t xml:space="preserve">. This can occur if the objectives are misconstrued and there is need to emphasize the non-political nature of the work with industry players </w:t>
      </w:r>
    </w:p>
    <w:p w14:paraId="448FC222" w14:textId="7BDCE9EE" w:rsidR="00CF7455" w:rsidRPr="00CF7455" w:rsidRDefault="00CF7455" w:rsidP="00CF7455">
      <w:pPr>
        <w:pStyle w:val="ListParagraph"/>
        <w:numPr>
          <w:ilvl w:val="0"/>
          <w:numId w:val="12"/>
        </w:numPr>
        <w:spacing w:before="0" w:beforeAutospacing="0"/>
        <w:jc w:val="both"/>
        <w:rPr>
          <w:rFonts w:ascii="Times New Roman" w:hAnsi="Times New Roman" w:cs="Times New Roman"/>
        </w:rPr>
      </w:pPr>
      <w:r>
        <w:rPr>
          <w:rFonts w:ascii="Times New Roman" w:eastAsia="Times New Roman" w:hAnsi="Times New Roman" w:cs="Times New Roman"/>
          <w:color w:val="000000"/>
          <w:sz w:val="22"/>
          <w:szCs w:val="22"/>
        </w:rPr>
        <w:t xml:space="preserve">Resistance of the MNOs to reveal confidential information </w:t>
      </w:r>
    </w:p>
    <w:p w14:paraId="65073AFB" w14:textId="0134A3FD" w:rsidR="00CF7455" w:rsidRPr="00CF7455" w:rsidRDefault="00CF7455" w:rsidP="00CF7455">
      <w:pPr>
        <w:spacing w:before="0" w:beforeAutospacing="0"/>
        <w:ind w:left="0"/>
        <w:jc w:val="both"/>
        <w:rPr>
          <w:rFonts w:ascii="Times New Roman" w:hAnsi="Times New Roman" w:cs="Times New Roman"/>
        </w:rPr>
      </w:pPr>
    </w:p>
    <w:sectPr w:rsidR="00CF7455" w:rsidRPr="00CF7455" w:rsidSect="00F02560">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3BD61" w14:textId="77777777" w:rsidR="00F15BAB" w:rsidRDefault="00F15BAB" w:rsidP="00E95CEC">
      <w:pPr>
        <w:spacing w:before="0"/>
      </w:pPr>
      <w:r>
        <w:separator/>
      </w:r>
    </w:p>
  </w:endnote>
  <w:endnote w:type="continuationSeparator" w:id="0">
    <w:p w14:paraId="6F7880E8" w14:textId="77777777" w:rsidR="00F15BAB" w:rsidRDefault="00F15BAB" w:rsidP="00E95C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4235770"/>
      <w:docPartObj>
        <w:docPartGallery w:val="Page Numbers (Bottom of Page)"/>
        <w:docPartUnique/>
      </w:docPartObj>
    </w:sdtPr>
    <w:sdtContent>
      <w:p w14:paraId="16CC4773" w14:textId="1A892FE3" w:rsidR="004E2E85" w:rsidRDefault="004E2E85" w:rsidP="005F71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7ECEB2" w14:textId="77777777" w:rsidR="004E2E85" w:rsidRDefault="004E2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6509605"/>
      <w:docPartObj>
        <w:docPartGallery w:val="Page Numbers (Bottom of Page)"/>
        <w:docPartUnique/>
      </w:docPartObj>
    </w:sdtPr>
    <w:sdtContent>
      <w:p w14:paraId="70DB544C" w14:textId="43343407" w:rsidR="004E2E85" w:rsidRDefault="004E2E85" w:rsidP="005F71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B6C61F" w14:textId="77777777" w:rsidR="004E2E85" w:rsidRDefault="004E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0A63" w14:textId="77777777" w:rsidR="00F15BAB" w:rsidRDefault="00F15BAB" w:rsidP="00E95CEC">
      <w:pPr>
        <w:spacing w:before="0"/>
      </w:pPr>
      <w:r>
        <w:separator/>
      </w:r>
    </w:p>
  </w:footnote>
  <w:footnote w:type="continuationSeparator" w:id="0">
    <w:p w14:paraId="62CFE383" w14:textId="77777777" w:rsidR="00F15BAB" w:rsidRDefault="00F15BAB" w:rsidP="00E95CEC">
      <w:pPr>
        <w:spacing w:before="0"/>
      </w:pPr>
      <w:r>
        <w:continuationSeparator/>
      </w:r>
    </w:p>
  </w:footnote>
  <w:footnote w:id="1">
    <w:p w14:paraId="718D216B" w14:textId="2CED8549" w:rsidR="00290D84" w:rsidRPr="00290D84" w:rsidRDefault="00290D84" w:rsidP="00290D84">
      <w:pPr>
        <w:pStyle w:val="yiv7250419167msolistparagraph"/>
        <w:shd w:val="clear" w:color="auto" w:fill="FFFFFF"/>
        <w:spacing w:before="0" w:beforeAutospacing="0" w:after="0" w:afterAutospacing="0"/>
        <w:jc w:val="both"/>
        <w:rPr>
          <w:rFonts w:asciiTheme="majorHAnsi" w:hAnsiTheme="majorHAnsi" w:cs="Segoe UI"/>
        </w:rPr>
      </w:pPr>
      <w:r>
        <w:rPr>
          <w:rStyle w:val="FootnoteReference"/>
        </w:rPr>
        <w:footnoteRef/>
      </w:r>
      <w:r>
        <w:t xml:space="preserve"> </w:t>
      </w:r>
      <w:r w:rsidRPr="00290D84">
        <w:rPr>
          <w:sz w:val="18"/>
          <w:szCs w:val="16"/>
        </w:rPr>
        <w:t xml:space="preserve">Mobile money service is categorized as a </w:t>
      </w:r>
      <w:proofErr w:type="gramStart"/>
      <w:r w:rsidRPr="00290D84">
        <w:rPr>
          <w:sz w:val="18"/>
          <w:szCs w:val="16"/>
        </w:rPr>
        <w:t>Value Added</w:t>
      </w:r>
      <w:proofErr w:type="gramEnd"/>
      <w:r w:rsidRPr="00290D84">
        <w:rPr>
          <w:sz w:val="18"/>
          <w:szCs w:val="16"/>
        </w:rPr>
        <w:t xml:space="preserve"> Service (VAS) provided by telecommunications operators after the grant of a VAS license by ZICTA. However, the financial transaction itself is regulated by the Bank of Zambia in accordance with the Banking and Financial Services Act.</w:t>
      </w:r>
    </w:p>
  </w:footnote>
  <w:footnote w:id="2">
    <w:p w14:paraId="41218B2C" w14:textId="512D491D" w:rsidR="006A4160" w:rsidRPr="00CF7455" w:rsidRDefault="006A4160" w:rsidP="006A4160">
      <w:pPr>
        <w:pStyle w:val="FootnoteText"/>
        <w:rPr>
          <w:rFonts w:ascii="Times New Roman" w:hAnsi="Times New Roman" w:cs="Times New Roman"/>
        </w:rPr>
      </w:pPr>
      <w:r w:rsidRPr="00CF7455">
        <w:rPr>
          <w:rStyle w:val="FootnoteReference"/>
          <w:rFonts w:ascii="Times New Roman" w:hAnsi="Times New Roman" w:cs="Times New Roman"/>
        </w:rPr>
        <w:footnoteRef/>
      </w:r>
      <w:r w:rsidR="00CF7455" w:rsidRPr="00CF7455">
        <w:rPr>
          <w:rFonts w:ascii="Times New Roman" w:hAnsi="Times New Roman" w:cs="Times New Roman"/>
        </w:rPr>
        <w:t xml:space="preserve"> Defined as outlined in the Statu</w:t>
      </w:r>
      <w:r w:rsidR="00CF7455">
        <w:rPr>
          <w:rFonts w:ascii="Times New Roman" w:hAnsi="Times New Roman" w:cs="Times New Roman"/>
        </w:rPr>
        <w:t>t</w:t>
      </w:r>
      <w:r w:rsidR="00CF7455" w:rsidRPr="00CF7455">
        <w:rPr>
          <w:rFonts w:ascii="Times New Roman" w:hAnsi="Times New Roman" w:cs="Times New Roman"/>
        </w:rPr>
        <w:t xml:space="preserve">ory Instrument </w:t>
      </w:r>
    </w:p>
  </w:footnote>
  <w:footnote w:id="3">
    <w:p w14:paraId="325F763F" w14:textId="42820799" w:rsidR="006A4160" w:rsidRPr="00840783" w:rsidRDefault="006A4160">
      <w:pPr>
        <w:pStyle w:val="FootnoteText"/>
        <w:rPr>
          <w:rFonts w:ascii="Times New Roman" w:hAnsi="Times New Roman" w:cs="Times New Roman"/>
          <w:sz w:val="18"/>
          <w:szCs w:val="18"/>
        </w:rPr>
      </w:pPr>
      <w:r w:rsidRPr="00840783">
        <w:rPr>
          <w:rStyle w:val="FootnoteReference"/>
          <w:rFonts w:ascii="Times New Roman" w:hAnsi="Times New Roman" w:cs="Times New Roman"/>
          <w:sz w:val="18"/>
          <w:szCs w:val="18"/>
        </w:rPr>
        <w:footnoteRef/>
      </w:r>
      <w:r w:rsidRPr="00840783">
        <w:rPr>
          <w:rFonts w:ascii="Times New Roman" w:hAnsi="Times New Roman" w:cs="Times New Roman"/>
          <w:sz w:val="18"/>
          <w:szCs w:val="18"/>
        </w:rPr>
        <w:t xml:space="preserve"> Each Mobile Money Service provider requires a Value</w:t>
      </w:r>
      <w:r w:rsidR="00840783">
        <w:rPr>
          <w:rFonts w:ascii="Times New Roman" w:hAnsi="Times New Roman" w:cs="Times New Roman"/>
          <w:sz w:val="18"/>
          <w:szCs w:val="18"/>
        </w:rPr>
        <w:t>-</w:t>
      </w:r>
      <w:r w:rsidRPr="00840783">
        <w:rPr>
          <w:rFonts w:ascii="Times New Roman" w:hAnsi="Times New Roman" w:cs="Times New Roman"/>
          <w:sz w:val="18"/>
          <w:szCs w:val="18"/>
        </w:rPr>
        <w:t xml:space="preserve">Added Services License from ZICTA to enable them operate. On the other hand, the financial regulations such as the </w:t>
      </w:r>
      <w:proofErr w:type="spellStart"/>
      <w:r w:rsidRPr="00840783">
        <w:rPr>
          <w:rFonts w:ascii="Times New Roman" w:hAnsi="Times New Roman" w:cs="Times New Roman"/>
          <w:sz w:val="18"/>
          <w:szCs w:val="18"/>
        </w:rPr>
        <w:t>Insitution’s</w:t>
      </w:r>
      <w:proofErr w:type="spellEnd"/>
      <w:r w:rsidRPr="00840783">
        <w:rPr>
          <w:rFonts w:ascii="Times New Roman" w:hAnsi="Times New Roman" w:cs="Times New Roman"/>
          <w:sz w:val="18"/>
          <w:szCs w:val="18"/>
        </w:rPr>
        <w:t xml:space="preserve"> license for Deposit Taking from the public are managed by the Bank of Zambia. </w:t>
      </w:r>
    </w:p>
  </w:footnote>
  <w:footnote w:id="4">
    <w:p w14:paraId="53328B05" w14:textId="322D5C7D" w:rsidR="006A4160" w:rsidRPr="00840783" w:rsidRDefault="006A4160">
      <w:pPr>
        <w:pStyle w:val="FootnoteText"/>
        <w:rPr>
          <w:rFonts w:ascii="Times New Roman" w:hAnsi="Times New Roman" w:cs="Times New Roman"/>
          <w:sz w:val="18"/>
          <w:szCs w:val="18"/>
        </w:rPr>
      </w:pPr>
      <w:r w:rsidRPr="00840783">
        <w:rPr>
          <w:rStyle w:val="FootnoteReference"/>
          <w:rFonts w:ascii="Times New Roman" w:hAnsi="Times New Roman" w:cs="Times New Roman"/>
          <w:sz w:val="18"/>
          <w:szCs w:val="18"/>
        </w:rPr>
        <w:footnoteRef/>
      </w:r>
      <w:r w:rsidRPr="00840783">
        <w:rPr>
          <w:rFonts w:ascii="Times New Roman" w:hAnsi="Times New Roman" w:cs="Times New Roman"/>
          <w:sz w:val="18"/>
          <w:szCs w:val="18"/>
        </w:rPr>
        <w:t xml:space="preserve"> This will inform the design and implementation of a data collection and data analysis plan </w:t>
      </w:r>
    </w:p>
  </w:footnote>
  <w:footnote w:id="5">
    <w:p w14:paraId="07443E73" w14:textId="588952E0" w:rsidR="006A4160" w:rsidRDefault="006A4160">
      <w:pPr>
        <w:pStyle w:val="FootnoteText"/>
      </w:pPr>
      <w:r w:rsidRPr="00840783">
        <w:rPr>
          <w:rStyle w:val="FootnoteReference"/>
          <w:rFonts w:ascii="Times New Roman" w:hAnsi="Times New Roman" w:cs="Times New Roman"/>
          <w:sz w:val="18"/>
          <w:szCs w:val="18"/>
        </w:rPr>
        <w:footnoteRef/>
      </w:r>
      <w:r w:rsidRPr="00840783">
        <w:rPr>
          <w:rFonts w:ascii="Times New Roman" w:hAnsi="Times New Roman" w:cs="Times New Roman"/>
          <w:sz w:val="18"/>
          <w:szCs w:val="18"/>
        </w:rPr>
        <w:t xml:space="preserve"> ZICTA has a comprehensive database of all registered mobile telephone users. This information contains </w:t>
      </w:r>
      <w:proofErr w:type="spellStart"/>
      <w:r w:rsidRPr="00840783">
        <w:rPr>
          <w:rFonts w:ascii="Times New Roman" w:hAnsi="Times New Roman" w:cs="Times New Roman"/>
          <w:sz w:val="18"/>
          <w:szCs w:val="18"/>
        </w:rPr>
        <w:t>indivudal</w:t>
      </w:r>
      <w:proofErr w:type="spellEnd"/>
      <w:r w:rsidRPr="00840783">
        <w:rPr>
          <w:rFonts w:ascii="Times New Roman" w:hAnsi="Times New Roman" w:cs="Times New Roman"/>
          <w:sz w:val="18"/>
          <w:szCs w:val="18"/>
        </w:rPr>
        <w:t xml:space="preserve"> users personal identification details including home addresses. This information is critical and be triangulated to establish mobile users at household level which is critical as NHI premiums are </w:t>
      </w:r>
      <w:proofErr w:type="spellStart"/>
      <w:r w:rsidRPr="00840783">
        <w:rPr>
          <w:rFonts w:ascii="Times New Roman" w:hAnsi="Times New Roman" w:cs="Times New Roman"/>
          <w:sz w:val="18"/>
          <w:szCs w:val="18"/>
        </w:rPr>
        <w:t>noly</w:t>
      </w:r>
      <w:proofErr w:type="spellEnd"/>
      <w:r w:rsidRPr="00840783">
        <w:rPr>
          <w:rFonts w:ascii="Times New Roman" w:hAnsi="Times New Roman" w:cs="Times New Roman"/>
          <w:sz w:val="18"/>
          <w:szCs w:val="18"/>
        </w:rPr>
        <w:t xml:space="preserve"> applicable at household </w:t>
      </w:r>
      <w:proofErr w:type="gramStart"/>
      <w:r w:rsidRPr="00840783">
        <w:rPr>
          <w:rFonts w:ascii="Times New Roman" w:hAnsi="Times New Roman" w:cs="Times New Roman"/>
          <w:sz w:val="18"/>
          <w:szCs w:val="18"/>
        </w:rPr>
        <w:t>level .</w:t>
      </w:r>
      <w:proofErr w:type="gramEnd"/>
      <w:r w:rsidRPr="00840783">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784"/>
    <w:multiLevelType w:val="hybridMultilevel"/>
    <w:tmpl w:val="00004AE1"/>
    <w:lvl w:ilvl="0" w:tplc="00003D6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D676B"/>
    <w:multiLevelType w:val="multilevel"/>
    <w:tmpl w:val="917A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36E99"/>
    <w:multiLevelType w:val="multilevel"/>
    <w:tmpl w:val="537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B3731"/>
    <w:multiLevelType w:val="hybridMultilevel"/>
    <w:tmpl w:val="06C8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44D42"/>
    <w:multiLevelType w:val="hybridMultilevel"/>
    <w:tmpl w:val="6B7AB67A"/>
    <w:lvl w:ilvl="0" w:tplc="031A7A0A">
      <w:numFmt w:val="bullet"/>
      <w:lvlText w:val="-"/>
      <w:lvlJc w:val="left"/>
      <w:pPr>
        <w:ind w:left="720" w:hanging="360"/>
      </w:pPr>
      <w:rPr>
        <w:rFonts w:ascii="Calibri Light" w:eastAsia="Times New Roman" w:hAnsi="Calibri Ligh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B2741"/>
    <w:multiLevelType w:val="hybridMultilevel"/>
    <w:tmpl w:val="27A2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95D48"/>
    <w:multiLevelType w:val="hybridMultilevel"/>
    <w:tmpl w:val="B584F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65C86"/>
    <w:multiLevelType w:val="multilevel"/>
    <w:tmpl w:val="91E2EF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627033"/>
    <w:multiLevelType w:val="multilevel"/>
    <w:tmpl w:val="54F46FC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71743B"/>
    <w:multiLevelType w:val="multilevel"/>
    <w:tmpl w:val="B1FC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EE0BFA"/>
    <w:multiLevelType w:val="multilevel"/>
    <w:tmpl w:val="4252AA60"/>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E1027ED"/>
    <w:multiLevelType w:val="hybridMultilevel"/>
    <w:tmpl w:val="F496D6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2"/>
  </w:num>
  <w:num w:numId="5">
    <w:abstractNumId w:val="9"/>
  </w:num>
  <w:num w:numId="6">
    <w:abstractNumId w:val="3"/>
  </w:num>
  <w:num w:numId="7">
    <w:abstractNumId w:val="11"/>
  </w:num>
  <w:num w:numId="8">
    <w:abstractNumId w:val="10"/>
  </w:num>
  <w:num w:numId="9">
    <w:abstractNumId w:val="0"/>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EC"/>
    <w:rsid w:val="00290D84"/>
    <w:rsid w:val="004C16B8"/>
    <w:rsid w:val="004E2E85"/>
    <w:rsid w:val="00583990"/>
    <w:rsid w:val="006A4160"/>
    <w:rsid w:val="00840783"/>
    <w:rsid w:val="0087276B"/>
    <w:rsid w:val="00CF7455"/>
    <w:rsid w:val="00E95CEC"/>
    <w:rsid w:val="00F02560"/>
    <w:rsid w:val="00F1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E2FB"/>
  <w15:chartTrackingRefBased/>
  <w15:docId w15:val="{679C9570-2556-564F-987A-A4CDA142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ind w:lef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5CEC"/>
    <w:pPr>
      <w:keepNext/>
      <w:spacing w:before="0" w:beforeAutospacing="0"/>
      <w:ind w:left="0"/>
      <w:jc w:val="both"/>
      <w:outlineLvl w:val="0"/>
    </w:pPr>
    <w:rPr>
      <w:rFonts w:ascii="Times New Roman" w:eastAsia="Times New Roman" w:hAnsi="Times New Roman" w:cs="Angsana New"/>
      <w:b/>
      <w:bCs/>
      <w:lang w:bidi="th-TH"/>
    </w:rPr>
  </w:style>
  <w:style w:type="paragraph" w:styleId="Heading2">
    <w:name w:val="heading 2"/>
    <w:basedOn w:val="Normal"/>
    <w:next w:val="Normal"/>
    <w:link w:val="Heading2Char"/>
    <w:uiPriority w:val="9"/>
    <w:unhideWhenUsed/>
    <w:qFormat/>
    <w:rsid w:val="00E95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41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A416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A416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CEC"/>
    <w:pPr>
      <w:spacing w:after="100" w:afterAutospacing="1"/>
      <w:ind w:left="0"/>
    </w:pPr>
    <w:rPr>
      <w:rFonts w:ascii="Times New Roman" w:eastAsia="Times New Roman" w:hAnsi="Times New Roman" w:cs="Times New Roman"/>
    </w:rPr>
  </w:style>
  <w:style w:type="paragraph" w:styleId="ListParagraph">
    <w:name w:val="List Paragraph"/>
    <w:basedOn w:val="Normal"/>
    <w:uiPriority w:val="34"/>
    <w:qFormat/>
    <w:rsid w:val="00E95CEC"/>
    <w:pPr>
      <w:contextualSpacing/>
    </w:pPr>
  </w:style>
  <w:style w:type="paragraph" w:customStyle="1" w:styleId="rtejustify">
    <w:name w:val="rtejustify"/>
    <w:basedOn w:val="Normal"/>
    <w:rsid w:val="00E95CEC"/>
    <w:pPr>
      <w:spacing w:after="100" w:afterAutospacing="1"/>
      <w:ind w:left="0"/>
    </w:pPr>
    <w:rPr>
      <w:rFonts w:ascii="Times New Roman" w:eastAsia="Times New Roman" w:hAnsi="Times New Roman" w:cs="Times New Roman"/>
    </w:rPr>
  </w:style>
  <w:style w:type="character" w:customStyle="1" w:styleId="Heading1Char">
    <w:name w:val="Heading 1 Char"/>
    <w:basedOn w:val="DefaultParagraphFont"/>
    <w:link w:val="Heading1"/>
    <w:rsid w:val="00E95CEC"/>
    <w:rPr>
      <w:rFonts w:ascii="Times New Roman" w:eastAsia="Times New Roman" w:hAnsi="Times New Roman" w:cs="Angsana New"/>
      <w:b/>
      <w:bCs/>
      <w:lang w:bidi="th-TH"/>
    </w:rPr>
  </w:style>
  <w:style w:type="paragraph" w:styleId="Caption">
    <w:name w:val="caption"/>
    <w:basedOn w:val="Normal"/>
    <w:next w:val="Normal"/>
    <w:uiPriority w:val="35"/>
    <w:unhideWhenUsed/>
    <w:qFormat/>
    <w:rsid w:val="00E95CEC"/>
    <w:pPr>
      <w:spacing w:before="0" w:beforeAutospacing="0" w:after="200"/>
      <w:ind w:left="0"/>
    </w:pPr>
    <w:rPr>
      <w:rFonts w:ascii="Times New Roman" w:eastAsia="Times New Roman" w:hAnsi="Times New Roman" w:cs="Angsana New"/>
      <w:b/>
      <w:bCs/>
      <w:color w:val="4472C4" w:themeColor="accent1"/>
      <w:sz w:val="18"/>
      <w:szCs w:val="22"/>
      <w:lang w:bidi="th-TH"/>
    </w:rPr>
  </w:style>
  <w:style w:type="paragraph" w:styleId="FootnoteText">
    <w:name w:val="footnote text"/>
    <w:basedOn w:val="Normal"/>
    <w:link w:val="FootnoteTextChar"/>
    <w:uiPriority w:val="99"/>
    <w:unhideWhenUsed/>
    <w:rsid w:val="00E95CEC"/>
    <w:pPr>
      <w:spacing w:before="0" w:beforeAutospacing="0"/>
      <w:ind w:left="0"/>
    </w:pPr>
    <w:rPr>
      <w:sz w:val="20"/>
      <w:szCs w:val="20"/>
    </w:rPr>
  </w:style>
  <w:style w:type="character" w:customStyle="1" w:styleId="FootnoteTextChar">
    <w:name w:val="Footnote Text Char"/>
    <w:basedOn w:val="DefaultParagraphFont"/>
    <w:link w:val="FootnoteText"/>
    <w:uiPriority w:val="99"/>
    <w:rsid w:val="00E95CEC"/>
    <w:rPr>
      <w:sz w:val="20"/>
      <w:szCs w:val="20"/>
    </w:rPr>
  </w:style>
  <w:style w:type="character" w:styleId="FootnoteReference">
    <w:name w:val="footnote reference"/>
    <w:aliases w:val="SUPERS,ftref,BVI fnr,16 Point,Superscript 6 Point,Superscript 6 Point + 11 pt,Footnote Reference Number,Footnote Reference_LVL6,Footnote Reference_LVL61,Footnote Reference_LVL62,Footnote Reference_LVL63,Footnote Reference_LVL64"/>
    <w:basedOn w:val="DefaultParagraphFont"/>
    <w:uiPriority w:val="99"/>
    <w:unhideWhenUsed/>
    <w:rsid w:val="00E95CEC"/>
    <w:rPr>
      <w:vertAlign w:val="superscript"/>
    </w:rPr>
  </w:style>
  <w:style w:type="character" w:styleId="Hyperlink">
    <w:name w:val="Hyperlink"/>
    <w:basedOn w:val="DefaultParagraphFont"/>
    <w:uiPriority w:val="99"/>
    <w:unhideWhenUsed/>
    <w:rsid w:val="00E95CEC"/>
    <w:rPr>
      <w:color w:val="0563C1" w:themeColor="hyperlink"/>
      <w:u w:val="single"/>
    </w:rPr>
  </w:style>
  <w:style w:type="character" w:styleId="UnresolvedMention">
    <w:name w:val="Unresolved Mention"/>
    <w:basedOn w:val="DefaultParagraphFont"/>
    <w:uiPriority w:val="99"/>
    <w:semiHidden/>
    <w:unhideWhenUsed/>
    <w:rsid w:val="00E95CEC"/>
    <w:rPr>
      <w:color w:val="605E5C"/>
      <w:shd w:val="clear" w:color="auto" w:fill="E1DFDD"/>
    </w:rPr>
  </w:style>
  <w:style w:type="character" w:customStyle="1" w:styleId="Heading2Char">
    <w:name w:val="Heading 2 Char"/>
    <w:basedOn w:val="DefaultParagraphFont"/>
    <w:link w:val="Heading2"/>
    <w:uiPriority w:val="9"/>
    <w:rsid w:val="00E95CE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rsid w:val="006A4160"/>
    <w:pPr>
      <w:widowControl w:val="0"/>
      <w:tabs>
        <w:tab w:val="center" w:pos="4320"/>
        <w:tab w:val="right" w:pos="8640"/>
      </w:tabs>
      <w:spacing w:before="0" w:beforeAutospacing="0"/>
      <w:ind w:left="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A416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A4160"/>
    <w:rPr>
      <w:sz w:val="16"/>
      <w:szCs w:val="16"/>
    </w:rPr>
  </w:style>
  <w:style w:type="paragraph" w:styleId="CommentText">
    <w:name w:val="annotation text"/>
    <w:basedOn w:val="Normal"/>
    <w:link w:val="CommentTextChar"/>
    <w:uiPriority w:val="99"/>
    <w:semiHidden/>
    <w:unhideWhenUsed/>
    <w:rsid w:val="006A4160"/>
    <w:pPr>
      <w:widowControl w:val="0"/>
      <w:spacing w:before="0" w:beforeAutospacing="0"/>
      <w:ind w:left="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A416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A4160"/>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4160"/>
    <w:rPr>
      <w:rFonts w:ascii="Times New Roman" w:hAnsi="Times New Roman" w:cs="Times New Roman"/>
      <w:sz w:val="18"/>
      <w:szCs w:val="18"/>
    </w:rPr>
  </w:style>
  <w:style w:type="character" w:customStyle="1" w:styleId="Heading4Char">
    <w:name w:val="Heading 4 Char"/>
    <w:basedOn w:val="DefaultParagraphFont"/>
    <w:link w:val="Heading4"/>
    <w:uiPriority w:val="9"/>
    <w:rsid w:val="006A416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A4160"/>
    <w:rPr>
      <w:rFonts w:asciiTheme="majorHAnsi" w:eastAsiaTheme="majorEastAsia" w:hAnsiTheme="majorHAnsi" w:cstheme="majorBidi"/>
      <w:color w:val="2F5496" w:themeColor="accent1" w:themeShade="BF"/>
    </w:rPr>
  </w:style>
  <w:style w:type="paragraph" w:customStyle="1" w:styleId="rteindent1">
    <w:name w:val="rteindent1"/>
    <w:basedOn w:val="Normal"/>
    <w:rsid w:val="006A4160"/>
    <w:pPr>
      <w:spacing w:after="100" w:afterAutospacing="1"/>
      <w:ind w:left="0"/>
    </w:pPr>
    <w:rPr>
      <w:rFonts w:ascii="Times New Roman" w:eastAsia="Times New Roman" w:hAnsi="Times New Roman" w:cs="Times New Roman"/>
    </w:rPr>
  </w:style>
  <w:style w:type="character" w:styleId="Strong">
    <w:name w:val="Strong"/>
    <w:basedOn w:val="DefaultParagraphFont"/>
    <w:uiPriority w:val="22"/>
    <w:qFormat/>
    <w:rsid w:val="006A4160"/>
    <w:rPr>
      <w:b/>
      <w:bCs/>
    </w:rPr>
  </w:style>
  <w:style w:type="character" w:customStyle="1" w:styleId="Heading3Char">
    <w:name w:val="Heading 3 Char"/>
    <w:basedOn w:val="DefaultParagraphFont"/>
    <w:link w:val="Heading3"/>
    <w:uiPriority w:val="9"/>
    <w:semiHidden/>
    <w:rsid w:val="006A4160"/>
    <w:rPr>
      <w:rFonts w:asciiTheme="majorHAnsi" w:eastAsiaTheme="majorEastAsia" w:hAnsiTheme="majorHAnsi" w:cstheme="majorBidi"/>
      <w:color w:val="1F3763" w:themeColor="accent1" w:themeShade="7F"/>
    </w:rPr>
  </w:style>
  <w:style w:type="paragraph" w:customStyle="1" w:styleId="yiv7250419167msolistparagraph">
    <w:name w:val="yiv7250419167msolistparagraph"/>
    <w:basedOn w:val="Normal"/>
    <w:rsid w:val="00290D84"/>
    <w:pPr>
      <w:spacing w:after="100" w:afterAutospacing="1"/>
      <w:ind w:left="0"/>
    </w:pPr>
    <w:rPr>
      <w:rFonts w:ascii="Times New Roman" w:eastAsia="Times New Roman" w:hAnsi="Times New Roman" w:cs="Times New Roman"/>
    </w:rPr>
  </w:style>
  <w:style w:type="paragraph" w:styleId="Footer">
    <w:name w:val="footer"/>
    <w:basedOn w:val="Normal"/>
    <w:link w:val="FooterChar"/>
    <w:uiPriority w:val="99"/>
    <w:unhideWhenUsed/>
    <w:rsid w:val="004E2E85"/>
    <w:pPr>
      <w:tabs>
        <w:tab w:val="center" w:pos="4680"/>
        <w:tab w:val="right" w:pos="9360"/>
      </w:tabs>
      <w:spacing w:before="0"/>
    </w:pPr>
  </w:style>
  <w:style w:type="character" w:customStyle="1" w:styleId="FooterChar">
    <w:name w:val="Footer Char"/>
    <w:basedOn w:val="DefaultParagraphFont"/>
    <w:link w:val="Footer"/>
    <w:uiPriority w:val="99"/>
    <w:rsid w:val="004E2E85"/>
  </w:style>
  <w:style w:type="character" w:styleId="PageNumber">
    <w:name w:val="page number"/>
    <w:basedOn w:val="DefaultParagraphFont"/>
    <w:uiPriority w:val="99"/>
    <w:semiHidden/>
    <w:unhideWhenUsed/>
    <w:rsid w:val="004E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6540">
      <w:bodyDiv w:val="1"/>
      <w:marLeft w:val="0"/>
      <w:marRight w:val="0"/>
      <w:marTop w:val="0"/>
      <w:marBottom w:val="0"/>
      <w:divBdr>
        <w:top w:val="none" w:sz="0" w:space="0" w:color="auto"/>
        <w:left w:val="none" w:sz="0" w:space="0" w:color="auto"/>
        <w:bottom w:val="none" w:sz="0" w:space="0" w:color="auto"/>
        <w:right w:val="none" w:sz="0" w:space="0" w:color="auto"/>
      </w:divBdr>
      <w:divsChild>
        <w:div w:id="1388603242">
          <w:marLeft w:val="0"/>
          <w:marRight w:val="0"/>
          <w:marTop w:val="0"/>
          <w:marBottom w:val="0"/>
          <w:divBdr>
            <w:top w:val="none" w:sz="0" w:space="0" w:color="auto"/>
            <w:left w:val="none" w:sz="0" w:space="0" w:color="auto"/>
            <w:bottom w:val="none" w:sz="0" w:space="0" w:color="auto"/>
            <w:right w:val="none" w:sz="0" w:space="0" w:color="auto"/>
          </w:divBdr>
          <w:divsChild>
            <w:div w:id="775440034">
              <w:marLeft w:val="0"/>
              <w:marRight w:val="0"/>
              <w:marTop w:val="0"/>
              <w:marBottom w:val="0"/>
              <w:divBdr>
                <w:top w:val="none" w:sz="0" w:space="0" w:color="auto"/>
                <w:left w:val="none" w:sz="0" w:space="0" w:color="auto"/>
                <w:bottom w:val="none" w:sz="0" w:space="0" w:color="auto"/>
                <w:right w:val="none" w:sz="0" w:space="0" w:color="auto"/>
              </w:divBdr>
              <w:divsChild>
                <w:div w:id="8844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5085">
      <w:bodyDiv w:val="1"/>
      <w:marLeft w:val="0"/>
      <w:marRight w:val="0"/>
      <w:marTop w:val="0"/>
      <w:marBottom w:val="0"/>
      <w:divBdr>
        <w:top w:val="none" w:sz="0" w:space="0" w:color="auto"/>
        <w:left w:val="none" w:sz="0" w:space="0" w:color="auto"/>
        <w:bottom w:val="none" w:sz="0" w:space="0" w:color="auto"/>
        <w:right w:val="none" w:sz="0" w:space="0" w:color="auto"/>
      </w:divBdr>
      <w:divsChild>
        <w:div w:id="32659944">
          <w:marLeft w:val="0"/>
          <w:marRight w:val="0"/>
          <w:marTop w:val="0"/>
          <w:marBottom w:val="0"/>
          <w:divBdr>
            <w:top w:val="none" w:sz="0" w:space="0" w:color="auto"/>
            <w:left w:val="none" w:sz="0" w:space="0" w:color="auto"/>
            <w:bottom w:val="none" w:sz="0" w:space="0" w:color="auto"/>
            <w:right w:val="none" w:sz="0" w:space="0" w:color="auto"/>
          </w:divBdr>
          <w:divsChild>
            <w:div w:id="936982122">
              <w:marLeft w:val="0"/>
              <w:marRight w:val="0"/>
              <w:marTop w:val="0"/>
              <w:marBottom w:val="0"/>
              <w:divBdr>
                <w:top w:val="none" w:sz="0" w:space="0" w:color="auto"/>
                <w:left w:val="none" w:sz="0" w:space="0" w:color="auto"/>
                <w:bottom w:val="none" w:sz="0" w:space="0" w:color="auto"/>
                <w:right w:val="none" w:sz="0" w:space="0" w:color="auto"/>
              </w:divBdr>
              <w:divsChild>
                <w:div w:id="901058863">
                  <w:marLeft w:val="0"/>
                  <w:marRight w:val="0"/>
                  <w:marTop w:val="0"/>
                  <w:marBottom w:val="0"/>
                  <w:divBdr>
                    <w:top w:val="none" w:sz="0" w:space="0" w:color="auto"/>
                    <w:left w:val="none" w:sz="0" w:space="0" w:color="auto"/>
                    <w:bottom w:val="none" w:sz="0" w:space="0" w:color="auto"/>
                    <w:right w:val="none" w:sz="0" w:space="0" w:color="auto"/>
                  </w:divBdr>
                </w:div>
              </w:divsChild>
            </w:div>
            <w:div w:id="1970941195">
              <w:marLeft w:val="0"/>
              <w:marRight w:val="0"/>
              <w:marTop w:val="0"/>
              <w:marBottom w:val="0"/>
              <w:divBdr>
                <w:top w:val="none" w:sz="0" w:space="0" w:color="auto"/>
                <w:left w:val="none" w:sz="0" w:space="0" w:color="auto"/>
                <w:bottom w:val="none" w:sz="0" w:space="0" w:color="auto"/>
                <w:right w:val="none" w:sz="0" w:space="0" w:color="auto"/>
              </w:divBdr>
              <w:divsChild>
                <w:div w:id="3815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12">
          <w:marLeft w:val="0"/>
          <w:marRight w:val="0"/>
          <w:marTop w:val="0"/>
          <w:marBottom w:val="0"/>
          <w:divBdr>
            <w:top w:val="none" w:sz="0" w:space="0" w:color="auto"/>
            <w:left w:val="none" w:sz="0" w:space="0" w:color="auto"/>
            <w:bottom w:val="none" w:sz="0" w:space="0" w:color="auto"/>
            <w:right w:val="none" w:sz="0" w:space="0" w:color="auto"/>
          </w:divBdr>
          <w:divsChild>
            <w:div w:id="1218737308">
              <w:marLeft w:val="0"/>
              <w:marRight w:val="0"/>
              <w:marTop w:val="0"/>
              <w:marBottom w:val="0"/>
              <w:divBdr>
                <w:top w:val="none" w:sz="0" w:space="0" w:color="auto"/>
                <w:left w:val="none" w:sz="0" w:space="0" w:color="auto"/>
                <w:bottom w:val="none" w:sz="0" w:space="0" w:color="auto"/>
                <w:right w:val="none" w:sz="0" w:space="0" w:color="auto"/>
              </w:divBdr>
              <w:divsChild>
                <w:div w:id="566427943">
                  <w:marLeft w:val="0"/>
                  <w:marRight w:val="0"/>
                  <w:marTop w:val="0"/>
                  <w:marBottom w:val="0"/>
                  <w:divBdr>
                    <w:top w:val="none" w:sz="0" w:space="0" w:color="auto"/>
                    <w:left w:val="none" w:sz="0" w:space="0" w:color="auto"/>
                    <w:bottom w:val="none" w:sz="0" w:space="0" w:color="auto"/>
                    <w:right w:val="none" w:sz="0" w:space="0" w:color="auto"/>
                  </w:divBdr>
                </w:div>
              </w:divsChild>
            </w:div>
            <w:div w:id="1523275033">
              <w:marLeft w:val="0"/>
              <w:marRight w:val="0"/>
              <w:marTop w:val="0"/>
              <w:marBottom w:val="0"/>
              <w:divBdr>
                <w:top w:val="none" w:sz="0" w:space="0" w:color="auto"/>
                <w:left w:val="none" w:sz="0" w:space="0" w:color="auto"/>
                <w:bottom w:val="none" w:sz="0" w:space="0" w:color="auto"/>
                <w:right w:val="none" w:sz="0" w:space="0" w:color="auto"/>
              </w:divBdr>
              <w:divsChild>
                <w:div w:id="10597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8850">
          <w:marLeft w:val="0"/>
          <w:marRight w:val="0"/>
          <w:marTop w:val="0"/>
          <w:marBottom w:val="0"/>
          <w:divBdr>
            <w:top w:val="none" w:sz="0" w:space="0" w:color="auto"/>
            <w:left w:val="none" w:sz="0" w:space="0" w:color="auto"/>
            <w:bottom w:val="none" w:sz="0" w:space="0" w:color="auto"/>
            <w:right w:val="none" w:sz="0" w:space="0" w:color="auto"/>
          </w:divBdr>
          <w:divsChild>
            <w:div w:id="2139755726">
              <w:marLeft w:val="0"/>
              <w:marRight w:val="0"/>
              <w:marTop w:val="0"/>
              <w:marBottom w:val="0"/>
              <w:divBdr>
                <w:top w:val="none" w:sz="0" w:space="0" w:color="auto"/>
                <w:left w:val="none" w:sz="0" w:space="0" w:color="auto"/>
                <w:bottom w:val="none" w:sz="0" w:space="0" w:color="auto"/>
                <w:right w:val="none" w:sz="0" w:space="0" w:color="auto"/>
              </w:divBdr>
              <w:divsChild>
                <w:div w:id="1931233949">
                  <w:marLeft w:val="0"/>
                  <w:marRight w:val="0"/>
                  <w:marTop w:val="0"/>
                  <w:marBottom w:val="0"/>
                  <w:divBdr>
                    <w:top w:val="none" w:sz="0" w:space="0" w:color="auto"/>
                    <w:left w:val="none" w:sz="0" w:space="0" w:color="auto"/>
                    <w:bottom w:val="none" w:sz="0" w:space="0" w:color="auto"/>
                    <w:right w:val="none" w:sz="0" w:space="0" w:color="auto"/>
                  </w:divBdr>
                </w:div>
              </w:divsChild>
            </w:div>
            <w:div w:id="1317955716">
              <w:marLeft w:val="0"/>
              <w:marRight w:val="0"/>
              <w:marTop w:val="0"/>
              <w:marBottom w:val="0"/>
              <w:divBdr>
                <w:top w:val="none" w:sz="0" w:space="0" w:color="auto"/>
                <w:left w:val="none" w:sz="0" w:space="0" w:color="auto"/>
                <w:bottom w:val="none" w:sz="0" w:space="0" w:color="auto"/>
                <w:right w:val="none" w:sz="0" w:space="0" w:color="auto"/>
              </w:divBdr>
              <w:divsChild>
                <w:div w:id="6159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9345">
          <w:marLeft w:val="0"/>
          <w:marRight w:val="0"/>
          <w:marTop w:val="0"/>
          <w:marBottom w:val="0"/>
          <w:divBdr>
            <w:top w:val="none" w:sz="0" w:space="0" w:color="auto"/>
            <w:left w:val="none" w:sz="0" w:space="0" w:color="auto"/>
            <w:bottom w:val="none" w:sz="0" w:space="0" w:color="auto"/>
            <w:right w:val="none" w:sz="0" w:space="0" w:color="auto"/>
          </w:divBdr>
          <w:divsChild>
            <w:div w:id="67768858">
              <w:marLeft w:val="0"/>
              <w:marRight w:val="0"/>
              <w:marTop w:val="0"/>
              <w:marBottom w:val="0"/>
              <w:divBdr>
                <w:top w:val="none" w:sz="0" w:space="0" w:color="auto"/>
                <w:left w:val="none" w:sz="0" w:space="0" w:color="auto"/>
                <w:bottom w:val="none" w:sz="0" w:space="0" w:color="auto"/>
                <w:right w:val="none" w:sz="0" w:space="0" w:color="auto"/>
              </w:divBdr>
              <w:divsChild>
                <w:div w:id="17002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63177">
      <w:bodyDiv w:val="1"/>
      <w:marLeft w:val="0"/>
      <w:marRight w:val="0"/>
      <w:marTop w:val="0"/>
      <w:marBottom w:val="0"/>
      <w:divBdr>
        <w:top w:val="none" w:sz="0" w:space="0" w:color="auto"/>
        <w:left w:val="none" w:sz="0" w:space="0" w:color="auto"/>
        <w:bottom w:val="none" w:sz="0" w:space="0" w:color="auto"/>
        <w:right w:val="none" w:sz="0" w:space="0" w:color="auto"/>
      </w:divBdr>
      <w:divsChild>
        <w:div w:id="423888186">
          <w:marLeft w:val="0"/>
          <w:marRight w:val="0"/>
          <w:marTop w:val="0"/>
          <w:marBottom w:val="0"/>
          <w:divBdr>
            <w:top w:val="none" w:sz="0" w:space="0" w:color="auto"/>
            <w:left w:val="none" w:sz="0" w:space="0" w:color="auto"/>
            <w:bottom w:val="none" w:sz="0" w:space="0" w:color="auto"/>
            <w:right w:val="none" w:sz="0" w:space="0" w:color="auto"/>
          </w:divBdr>
          <w:divsChild>
            <w:div w:id="589045619">
              <w:marLeft w:val="0"/>
              <w:marRight w:val="0"/>
              <w:marTop w:val="0"/>
              <w:marBottom w:val="0"/>
              <w:divBdr>
                <w:top w:val="none" w:sz="0" w:space="0" w:color="auto"/>
                <w:left w:val="none" w:sz="0" w:space="0" w:color="auto"/>
                <w:bottom w:val="none" w:sz="0" w:space="0" w:color="auto"/>
                <w:right w:val="none" w:sz="0" w:space="0" w:color="auto"/>
              </w:divBdr>
              <w:divsChild>
                <w:div w:id="1562406527">
                  <w:marLeft w:val="0"/>
                  <w:marRight w:val="0"/>
                  <w:marTop w:val="0"/>
                  <w:marBottom w:val="0"/>
                  <w:divBdr>
                    <w:top w:val="none" w:sz="0" w:space="0" w:color="auto"/>
                    <w:left w:val="none" w:sz="0" w:space="0" w:color="auto"/>
                    <w:bottom w:val="none" w:sz="0" w:space="0" w:color="auto"/>
                    <w:right w:val="none" w:sz="0" w:space="0" w:color="auto"/>
                  </w:divBdr>
                  <w:divsChild>
                    <w:div w:id="7517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24472">
      <w:bodyDiv w:val="1"/>
      <w:marLeft w:val="0"/>
      <w:marRight w:val="0"/>
      <w:marTop w:val="0"/>
      <w:marBottom w:val="0"/>
      <w:divBdr>
        <w:top w:val="none" w:sz="0" w:space="0" w:color="auto"/>
        <w:left w:val="none" w:sz="0" w:space="0" w:color="auto"/>
        <w:bottom w:val="none" w:sz="0" w:space="0" w:color="auto"/>
        <w:right w:val="none" w:sz="0" w:space="0" w:color="auto"/>
      </w:divBdr>
      <w:divsChild>
        <w:div w:id="1493444004">
          <w:marLeft w:val="0"/>
          <w:marRight w:val="0"/>
          <w:marTop w:val="0"/>
          <w:marBottom w:val="0"/>
          <w:divBdr>
            <w:top w:val="none" w:sz="0" w:space="0" w:color="auto"/>
            <w:left w:val="none" w:sz="0" w:space="0" w:color="auto"/>
            <w:bottom w:val="none" w:sz="0" w:space="0" w:color="auto"/>
            <w:right w:val="none" w:sz="0" w:space="0" w:color="auto"/>
          </w:divBdr>
          <w:divsChild>
            <w:div w:id="569653531">
              <w:marLeft w:val="0"/>
              <w:marRight w:val="0"/>
              <w:marTop w:val="0"/>
              <w:marBottom w:val="0"/>
              <w:divBdr>
                <w:top w:val="none" w:sz="0" w:space="0" w:color="auto"/>
                <w:left w:val="none" w:sz="0" w:space="0" w:color="auto"/>
                <w:bottom w:val="none" w:sz="0" w:space="0" w:color="auto"/>
                <w:right w:val="none" w:sz="0" w:space="0" w:color="auto"/>
              </w:divBdr>
              <w:divsChild>
                <w:div w:id="18968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9903">
      <w:bodyDiv w:val="1"/>
      <w:marLeft w:val="0"/>
      <w:marRight w:val="0"/>
      <w:marTop w:val="0"/>
      <w:marBottom w:val="0"/>
      <w:divBdr>
        <w:top w:val="none" w:sz="0" w:space="0" w:color="auto"/>
        <w:left w:val="none" w:sz="0" w:space="0" w:color="auto"/>
        <w:bottom w:val="none" w:sz="0" w:space="0" w:color="auto"/>
        <w:right w:val="none" w:sz="0" w:space="0" w:color="auto"/>
      </w:divBdr>
    </w:div>
    <w:div w:id="626081334">
      <w:bodyDiv w:val="1"/>
      <w:marLeft w:val="0"/>
      <w:marRight w:val="0"/>
      <w:marTop w:val="0"/>
      <w:marBottom w:val="0"/>
      <w:divBdr>
        <w:top w:val="none" w:sz="0" w:space="0" w:color="auto"/>
        <w:left w:val="none" w:sz="0" w:space="0" w:color="auto"/>
        <w:bottom w:val="none" w:sz="0" w:space="0" w:color="auto"/>
        <w:right w:val="none" w:sz="0" w:space="0" w:color="auto"/>
      </w:divBdr>
      <w:divsChild>
        <w:div w:id="189613001">
          <w:marLeft w:val="0"/>
          <w:marRight w:val="0"/>
          <w:marTop w:val="0"/>
          <w:marBottom w:val="0"/>
          <w:divBdr>
            <w:top w:val="none" w:sz="0" w:space="0" w:color="auto"/>
            <w:left w:val="none" w:sz="0" w:space="0" w:color="auto"/>
            <w:bottom w:val="none" w:sz="0" w:space="0" w:color="auto"/>
            <w:right w:val="none" w:sz="0" w:space="0" w:color="auto"/>
          </w:divBdr>
        </w:div>
      </w:divsChild>
    </w:div>
    <w:div w:id="745761229">
      <w:bodyDiv w:val="1"/>
      <w:marLeft w:val="0"/>
      <w:marRight w:val="0"/>
      <w:marTop w:val="0"/>
      <w:marBottom w:val="0"/>
      <w:divBdr>
        <w:top w:val="none" w:sz="0" w:space="0" w:color="auto"/>
        <w:left w:val="none" w:sz="0" w:space="0" w:color="auto"/>
        <w:bottom w:val="none" w:sz="0" w:space="0" w:color="auto"/>
        <w:right w:val="none" w:sz="0" w:space="0" w:color="auto"/>
      </w:divBdr>
    </w:div>
    <w:div w:id="862399538">
      <w:bodyDiv w:val="1"/>
      <w:marLeft w:val="0"/>
      <w:marRight w:val="0"/>
      <w:marTop w:val="0"/>
      <w:marBottom w:val="0"/>
      <w:divBdr>
        <w:top w:val="none" w:sz="0" w:space="0" w:color="auto"/>
        <w:left w:val="none" w:sz="0" w:space="0" w:color="auto"/>
        <w:bottom w:val="none" w:sz="0" w:space="0" w:color="auto"/>
        <w:right w:val="none" w:sz="0" w:space="0" w:color="auto"/>
      </w:divBdr>
    </w:div>
    <w:div w:id="926040449">
      <w:bodyDiv w:val="1"/>
      <w:marLeft w:val="0"/>
      <w:marRight w:val="0"/>
      <w:marTop w:val="0"/>
      <w:marBottom w:val="0"/>
      <w:divBdr>
        <w:top w:val="none" w:sz="0" w:space="0" w:color="auto"/>
        <w:left w:val="none" w:sz="0" w:space="0" w:color="auto"/>
        <w:bottom w:val="none" w:sz="0" w:space="0" w:color="auto"/>
        <w:right w:val="none" w:sz="0" w:space="0" w:color="auto"/>
      </w:divBdr>
    </w:div>
    <w:div w:id="949311526">
      <w:bodyDiv w:val="1"/>
      <w:marLeft w:val="0"/>
      <w:marRight w:val="0"/>
      <w:marTop w:val="0"/>
      <w:marBottom w:val="0"/>
      <w:divBdr>
        <w:top w:val="none" w:sz="0" w:space="0" w:color="auto"/>
        <w:left w:val="none" w:sz="0" w:space="0" w:color="auto"/>
        <w:bottom w:val="none" w:sz="0" w:space="0" w:color="auto"/>
        <w:right w:val="none" w:sz="0" w:space="0" w:color="auto"/>
      </w:divBdr>
    </w:div>
    <w:div w:id="1242374750">
      <w:bodyDiv w:val="1"/>
      <w:marLeft w:val="0"/>
      <w:marRight w:val="0"/>
      <w:marTop w:val="0"/>
      <w:marBottom w:val="0"/>
      <w:divBdr>
        <w:top w:val="none" w:sz="0" w:space="0" w:color="auto"/>
        <w:left w:val="none" w:sz="0" w:space="0" w:color="auto"/>
        <w:bottom w:val="none" w:sz="0" w:space="0" w:color="auto"/>
        <w:right w:val="none" w:sz="0" w:space="0" w:color="auto"/>
      </w:divBdr>
    </w:div>
    <w:div w:id="13240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9F88-A799-994D-8716-297B1CCB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2362</Words>
  <Characters>13466</Characters>
  <Application>Microsoft Office Word</Application>
  <DocSecurity>0</DocSecurity>
  <Lines>112</Lines>
  <Paragraphs>31</Paragraphs>
  <ScaleCrop>false</ScaleCrop>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Sikwibele</dc:creator>
  <cp:keywords/>
  <dc:description/>
  <cp:lastModifiedBy>Collin Sikwibele</cp:lastModifiedBy>
  <cp:revision>4</cp:revision>
  <dcterms:created xsi:type="dcterms:W3CDTF">2019-10-18T14:14:00Z</dcterms:created>
  <dcterms:modified xsi:type="dcterms:W3CDTF">2019-10-18T15:11:00Z</dcterms:modified>
</cp:coreProperties>
</file>