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05086" w14:textId="77777777" w:rsidR="007A7A9D" w:rsidRDefault="007A7A9D" w:rsidP="007A7A9D">
      <w:pPr>
        <w:rPr>
          <w:b/>
        </w:rPr>
      </w:pPr>
    </w:p>
    <w:p w14:paraId="3B8DF3E1" w14:textId="77777777" w:rsidR="007A7A9D" w:rsidRDefault="007A7A9D" w:rsidP="007A7A9D">
      <w:pPr>
        <w:rPr>
          <w:b/>
          <w:sz w:val="46"/>
          <w:szCs w:val="46"/>
        </w:rPr>
      </w:pPr>
    </w:p>
    <w:p w14:paraId="4FD1D85A" w14:textId="018DB053" w:rsidR="007A7A9D" w:rsidRPr="00A36BCF" w:rsidRDefault="007A7A9D" w:rsidP="007A7A9D">
      <w:pPr>
        <w:rPr>
          <w:b/>
          <w:sz w:val="46"/>
          <w:szCs w:val="46"/>
        </w:rPr>
      </w:pPr>
      <w:r w:rsidRPr="00A36BCF">
        <w:rPr>
          <w:b/>
          <w:sz w:val="46"/>
          <w:szCs w:val="46"/>
        </w:rPr>
        <w:t>PROPOSAL</w:t>
      </w:r>
    </w:p>
    <w:p w14:paraId="1E159F68" w14:textId="282D3C28" w:rsidR="007A7A9D" w:rsidRDefault="00A52DEC" w:rsidP="007A7A9D">
      <w:pPr>
        <w:rPr>
          <w:b/>
        </w:rPr>
      </w:pPr>
      <w:r>
        <w:rPr>
          <w:b/>
          <w:sz w:val="26"/>
          <w:szCs w:val="26"/>
        </w:rPr>
        <w:t>A landscape assessment of digital financial services in healthcare</w:t>
      </w:r>
    </w:p>
    <w:p w14:paraId="506F37FB" w14:textId="77777777" w:rsidR="007C5EF3" w:rsidRDefault="007C5EF3" w:rsidP="007A7A9D"/>
    <w:p w14:paraId="32814E78" w14:textId="64E8C234" w:rsidR="007C5EF3" w:rsidRPr="007C5EF3" w:rsidRDefault="007C5EF3" w:rsidP="007A7A9D">
      <w:pPr>
        <w:rPr>
          <w:b/>
        </w:rPr>
      </w:pPr>
      <w:r w:rsidRPr="007C5EF3">
        <w:rPr>
          <w:b/>
        </w:rPr>
        <w:t>EXECUTIVE SUMMARY</w:t>
      </w:r>
    </w:p>
    <w:p w14:paraId="2ADC6A5A" w14:textId="1AFEC0D3" w:rsidR="007C5EF3" w:rsidRPr="007C5EF3" w:rsidRDefault="007C5EF3" w:rsidP="007C5EF3">
      <w:pPr>
        <w:rPr>
          <w:rFonts w:eastAsia="Times New Roman" w:cs="Times New Roman"/>
        </w:rPr>
      </w:pPr>
      <w:r w:rsidRPr="007C5EF3">
        <w:rPr>
          <w:rFonts w:eastAsia="Times New Roman" w:cs="Times New Roman"/>
        </w:rPr>
        <w:t xml:space="preserve">ACCESS Health International, with support from MetLife Foundation is the lead implementer of a newly established Fintech for Health Innovation Platform. With the aim of overcoming persistent financial barriers to healthcare access, ACCESS Health is convening partners from the health, technology, </w:t>
      </w:r>
      <w:proofErr w:type="spellStart"/>
      <w:r w:rsidRPr="007C5EF3">
        <w:rPr>
          <w:rFonts w:eastAsia="Times New Roman" w:cs="Times New Roman"/>
        </w:rPr>
        <w:t>startup</w:t>
      </w:r>
      <w:proofErr w:type="spellEnd"/>
      <w:r w:rsidRPr="007C5EF3">
        <w:rPr>
          <w:rFonts w:eastAsia="Times New Roman" w:cs="Times New Roman"/>
        </w:rPr>
        <w:t xml:space="preserve"> and financial sectors to build knowledge and co-create solutions and partnerships so that people no longer have to choose between catastrophic costs and catastrophic illness. While this initiative is currently focused on six markets in Asia, we believe that fintech for health has global relevance in efforts to improve health care access through digital financial inclusion, especially in low-resource settings. With support from Digital Square, ACCESS Health and </w:t>
      </w:r>
      <w:proofErr w:type="spellStart"/>
      <w:r w:rsidRPr="007C5EF3">
        <w:rPr>
          <w:rFonts w:eastAsia="Times New Roman" w:cs="Times New Roman"/>
        </w:rPr>
        <w:t>Microsave</w:t>
      </w:r>
      <w:proofErr w:type="spellEnd"/>
      <w:r w:rsidR="00A455BD">
        <w:rPr>
          <w:rFonts w:eastAsia="Times New Roman" w:cs="Times New Roman"/>
        </w:rPr>
        <w:t xml:space="preserve"> Consulting</w:t>
      </w:r>
      <w:r w:rsidRPr="007C5EF3">
        <w:rPr>
          <w:rFonts w:eastAsia="Times New Roman" w:cs="Times New Roman"/>
        </w:rPr>
        <w:t xml:space="preserve"> will study </w:t>
      </w:r>
      <w:r w:rsidRPr="007C5EF3">
        <w:rPr>
          <w:rFonts w:eastAsia="Times New Roman" w:cs="Times New Roman"/>
          <w:i/>
          <w:iCs/>
        </w:rPr>
        <w:t>how</w:t>
      </w:r>
      <w:r w:rsidRPr="007C5EF3">
        <w:rPr>
          <w:rFonts w:eastAsia="Times New Roman" w:cs="Times New Roman"/>
        </w:rPr>
        <w:t xml:space="preserve"> digital financial service models in healthcare were created, launched, and scaled, including barriers and success factors. We will pay special attention to the enabling factors and cases for how two disparate industries – financial services and healthcare – are able to work together. ACCESS Health has extensive experience in health financing, primary health care, and digital health technology in China, S</w:t>
      </w:r>
      <w:r w:rsidR="00A455BD">
        <w:rPr>
          <w:rFonts w:eastAsia="Times New Roman" w:cs="Times New Roman"/>
        </w:rPr>
        <w:t xml:space="preserve">outheast Asia, and India. </w:t>
      </w:r>
      <w:proofErr w:type="spellStart"/>
      <w:r w:rsidR="00A455BD">
        <w:rPr>
          <w:rFonts w:eastAsia="Times New Roman" w:cs="Times New Roman"/>
        </w:rPr>
        <w:t>MicroS</w:t>
      </w:r>
      <w:r w:rsidRPr="007C5EF3">
        <w:rPr>
          <w:rFonts w:eastAsia="Times New Roman" w:cs="Times New Roman"/>
        </w:rPr>
        <w:t>ave</w:t>
      </w:r>
      <w:proofErr w:type="spellEnd"/>
      <w:r w:rsidRPr="007C5EF3">
        <w:rPr>
          <w:rFonts w:eastAsia="Times New Roman" w:cs="Times New Roman"/>
        </w:rPr>
        <w:t xml:space="preserve"> </w:t>
      </w:r>
      <w:r w:rsidR="00A455BD">
        <w:rPr>
          <w:rFonts w:eastAsia="Times New Roman" w:cs="Times New Roman"/>
        </w:rPr>
        <w:t xml:space="preserve">Consulting </w:t>
      </w:r>
      <w:r w:rsidRPr="007C5EF3">
        <w:rPr>
          <w:rFonts w:eastAsia="Times New Roman" w:cs="Times New Roman"/>
        </w:rPr>
        <w:t xml:space="preserve">contributes the expertise in financial services and fintech to ensure that appropriate solutions are created for health financing challenges. </w:t>
      </w:r>
      <w:r w:rsidRPr="007C5EF3">
        <w:rPr>
          <w:rFonts w:eastAsia="Times New Roman" w:cs="Times New Roman"/>
          <w:color w:val="222222"/>
          <w:shd w:val="clear" w:color="auto" w:fill="FFFFFF"/>
        </w:rPr>
        <w:t>Upon completion of the project, USAID and the global health community will have an analytics tool to help project leads decide on the most appropriate digital financial services model for a given healthcare market, target population, regulatory environment, or given partners’ capabilities.</w:t>
      </w:r>
    </w:p>
    <w:p w14:paraId="25AC219E" w14:textId="77777777" w:rsidR="007C5EF3" w:rsidRDefault="007C5EF3" w:rsidP="007A7A9D">
      <w:pPr>
        <w:rPr>
          <w:b/>
        </w:rPr>
      </w:pPr>
    </w:p>
    <w:p w14:paraId="579283F0" w14:textId="77777777" w:rsidR="007C5EF3" w:rsidRDefault="007C5EF3" w:rsidP="007A7A9D">
      <w:pPr>
        <w:rPr>
          <w:b/>
        </w:rPr>
      </w:pPr>
    </w:p>
    <w:p w14:paraId="792AE4C2" w14:textId="77777777" w:rsidR="009D5A71" w:rsidRDefault="009D5A71" w:rsidP="007A7A9D"/>
    <w:p w14:paraId="7D96EFD1" w14:textId="77777777" w:rsidR="009D5A71" w:rsidRDefault="009D5A71" w:rsidP="007A7A9D"/>
    <w:p w14:paraId="227B232F" w14:textId="77777777" w:rsidR="009D5A71" w:rsidRDefault="009D5A71" w:rsidP="007A7A9D"/>
    <w:p w14:paraId="69017818" w14:textId="77777777" w:rsidR="009D5A71" w:rsidRDefault="009D5A71" w:rsidP="007A7A9D"/>
    <w:p w14:paraId="78692F7F" w14:textId="77777777" w:rsidR="009D5A71" w:rsidRDefault="009D5A71" w:rsidP="007A7A9D"/>
    <w:p w14:paraId="26D5FA6A" w14:textId="3D3847FA" w:rsidR="007A7A9D" w:rsidRPr="00A36BCF" w:rsidRDefault="00B61EC1" w:rsidP="007A7A9D">
      <w:r>
        <w:t>December</w:t>
      </w:r>
      <w:r w:rsidR="00A52DEC">
        <w:t xml:space="preserve"> 2019</w:t>
      </w:r>
      <w:r w:rsidR="007A7A9D" w:rsidRPr="00A36BCF">
        <w:br/>
        <w:t xml:space="preserve">Version </w:t>
      </w:r>
      <w:r w:rsidR="00501942">
        <w:t>3</w:t>
      </w:r>
      <w:r w:rsidR="007A7A9D" w:rsidRPr="00A36BCF">
        <w:t>.0</w:t>
      </w:r>
    </w:p>
    <w:p w14:paraId="623917EF" w14:textId="03AA1BE2" w:rsidR="001B1EA8" w:rsidRDefault="001B1EA8">
      <w:r>
        <w:br w:type="page"/>
      </w:r>
    </w:p>
    <w:p w14:paraId="1144A75E" w14:textId="1FCD8566" w:rsidR="001B1EA8" w:rsidRPr="00A52DEC" w:rsidRDefault="003A4A11" w:rsidP="007A7A9D">
      <w:pPr>
        <w:rPr>
          <w:rFonts w:eastAsia="Calibri" w:cstheme="minorHAnsi"/>
          <w:b/>
          <w:lang w:val="en-SG" w:eastAsia="en-US"/>
        </w:rPr>
      </w:pPr>
      <w:r>
        <w:rPr>
          <w:rFonts w:eastAsia="Calibri" w:cstheme="minorHAnsi"/>
          <w:b/>
          <w:sz w:val="20"/>
          <w:szCs w:val="20"/>
          <w:lang w:val="en-SG" w:eastAsia="en-US"/>
        </w:rPr>
        <w:lastRenderedPageBreak/>
        <w:br/>
      </w:r>
      <w:r w:rsidR="00DD275D" w:rsidRPr="00A52DEC">
        <w:rPr>
          <w:rFonts w:eastAsia="Calibri" w:cstheme="minorHAnsi"/>
          <w:b/>
          <w:lang w:val="en-SG" w:eastAsia="en-US"/>
        </w:rPr>
        <w:t>INTRODUCTION</w:t>
      </w:r>
    </w:p>
    <w:p w14:paraId="2EBB366B" w14:textId="04D35869" w:rsidR="00A52DEC" w:rsidRPr="00A52DEC" w:rsidRDefault="00A52DEC" w:rsidP="00A52DEC">
      <w:pPr>
        <w:widowControl w:val="0"/>
        <w:autoSpaceDE w:val="0"/>
        <w:autoSpaceDN w:val="0"/>
        <w:adjustRightInd w:val="0"/>
        <w:rPr>
          <w:rFonts w:cs="Times New Roman"/>
          <w:lang w:val="en-SG"/>
        </w:rPr>
      </w:pPr>
      <w:r w:rsidRPr="00A52DEC">
        <w:rPr>
          <w:rFonts w:cs="Times New Roman"/>
          <w:lang w:val="en-SG"/>
        </w:rPr>
        <w:t xml:space="preserve">Out-of-pocket spending on healthcare costs are one of the greatest threats to the financial security of people around the world. Despite commitments to universal health coverage, disparities in access, quality, and affordability persist. OECD countries have an average out-of-pocket expenditure rate of 13.76%, while in the least developed countries, 51.76% of healthcare costs are out of pocket. In Asia, out-of-pocket payments, as percent of total health expenditures, are high with 64.8% in South Asia, 33.5% in low income East Asia countries, and 26.1% in high income East Asia countries. </w:t>
      </w:r>
      <w:r w:rsidR="00E74A3E">
        <w:rPr>
          <w:rFonts w:cs="Times New Roman"/>
          <w:lang w:val="en-SG"/>
        </w:rPr>
        <w:t>Meanwhile, in</w:t>
      </w:r>
      <w:r w:rsidR="00AE04B1">
        <w:rPr>
          <w:rFonts w:cs="Times New Roman"/>
          <w:lang w:val="en-SG"/>
        </w:rPr>
        <w:t xml:space="preserve"> eastern Africa, there is greater financial protection from healthcare costs. In</w:t>
      </w:r>
      <w:r w:rsidR="00E74A3E">
        <w:rPr>
          <w:rFonts w:cs="Times New Roman"/>
          <w:lang w:val="en-SG"/>
        </w:rPr>
        <w:t xml:space="preserve"> Kenya</w:t>
      </w:r>
      <w:r w:rsidR="00AE04B1">
        <w:rPr>
          <w:rFonts w:cs="Times New Roman"/>
          <w:lang w:val="en-SG"/>
        </w:rPr>
        <w:t xml:space="preserve"> and Tanzania</w:t>
      </w:r>
      <w:r w:rsidR="00E74A3E">
        <w:rPr>
          <w:rFonts w:cs="Times New Roman"/>
          <w:lang w:val="en-SG"/>
        </w:rPr>
        <w:t>, 27.71%</w:t>
      </w:r>
      <w:r w:rsidR="00AE04B1">
        <w:rPr>
          <w:rFonts w:cs="Times New Roman"/>
          <w:lang w:val="en-SG"/>
        </w:rPr>
        <w:t xml:space="preserve"> and 21.89%</w:t>
      </w:r>
      <w:r w:rsidR="00E74A3E">
        <w:rPr>
          <w:rFonts w:cs="Times New Roman"/>
          <w:lang w:val="en-SG"/>
        </w:rPr>
        <w:t xml:space="preserve"> of</w:t>
      </w:r>
      <w:r w:rsidR="00AE04B1">
        <w:rPr>
          <w:rFonts w:cs="Times New Roman"/>
          <w:lang w:val="en-SG"/>
        </w:rPr>
        <w:t xml:space="preserve"> healthcare</w:t>
      </w:r>
      <w:r w:rsidR="00E74A3E">
        <w:rPr>
          <w:rFonts w:cs="Times New Roman"/>
          <w:lang w:val="en-SG"/>
        </w:rPr>
        <w:t xml:space="preserve"> payment</w:t>
      </w:r>
      <w:r w:rsidR="00AE04B1">
        <w:rPr>
          <w:rFonts w:cs="Times New Roman"/>
          <w:lang w:val="en-SG"/>
        </w:rPr>
        <w:t xml:space="preserve">s, respectively, are out-of-pocket. </w:t>
      </w:r>
    </w:p>
    <w:p w14:paraId="5A5F8E86" w14:textId="11D23DD8" w:rsidR="0022274E" w:rsidRDefault="00A52DEC" w:rsidP="00A52DEC">
      <w:pPr>
        <w:widowControl w:val="0"/>
        <w:autoSpaceDE w:val="0"/>
        <w:autoSpaceDN w:val="0"/>
        <w:adjustRightInd w:val="0"/>
        <w:rPr>
          <w:lang w:val="en-SG"/>
        </w:rPr>
      </w:pPr>
      <w:r w:rsidRPr="00A52DEC">
        <w:rPr>
          <w:rFonts w:cs="Times New Roman"/>
          <w:lang w:val="en-SG"/>
        </w:rPr>
        <w:t>Every year, one third of all new cases of poverty in Southeast Asia are due to healthcare costs, with medicine being the largest contributor to the financial burden of healthcare. Sixty-five million people living in the WHO South-East Asia Region are in extreme poverty due to healthcare costs, while seventy-five percent of people with cancer in Asia face death or financial catastrophe within one year of diagnosis.</w:t>
      </w:r>
      <w:r w:rsidRPr="00A52DEC">
        <w:rPr>
          <w:lang w:val="en-SG"/>
        </w:rPr>
        <w:t xml:space="preserve"> </w:t>
      </w:r>
    </w:p>
    <w:p w14:paraId="7B892845" w14:textId="22508B88" w:rsidR="00A52DEC" w:rsidRDefault="009D5A71" w:rsidP="00A52DEC">
      <w:pPr>
        <w:widowControl w:val="0"/>
        <w:autoSpaceDE w:val="0"/>
        <w:autoSpaceDN w:val="0"/>
        <w:adjustRightInd w:val="0"/>
        <w:rPr>
          <w:lang w:val="en-SG"/>
        </w:rPr>
      </w:pPr>
      <w:r>
        <w:rPr>
          <w:lang w:val="en-SG"/>
        </w:rPr>
        <w:t xml:space="preserve">With rapid adoption of digital financial services in Asia, there has been increased interest in the role of digital financial services in helping people to pay for and access the care they need, when they need it, while avoiding financial hardship and improving their health. Additionally, there is a role for digital financial services in increasing the efficiencies of healthcare systems through trusted and transparent transactions and a more complete view of population needs through better data collection and analytics. </w:t>
      </w:r>
    </w:p>
    <w:p w14:paraId="6B99B89D" w14:textId="1A0C8F5F" w:rsidR="009D5A71" w:rsidRPr="00A52DEC" w:rsidRDefault="009D5A71" w:rsidP="00A52DEC">
      <w:pPr>
        <w:widowControl w:val="0"/>
        <w:autoSpaceDE w:val="0"/>
        <w:autoSpaceDN w:val="0"/>
        <w:adjustRightInd w:val="0"/>
        <w:rPr>
          <w:lang w:val="en-SG"/>
        </w:rPr>
      </w:pPr>
      <w:r>
        <w:rPr>
          <w:lang w:val="en-SG"/>
        </w:rPr>
        <w:t xml:space="preserve">However, the relevant published literature is scant, and the industry—at the nexus of finance and healthcare—is </w:t>
      </w:r>
      <w:r w:rsidR="00FA4EB0">
        <w:rPr>
          <w:lang w:val="en-SG"/>
        </w:rPr>
        <w:t xml:space="preserve">nascent, providing limited insights on the development of digital financial services in healthcare to inform organizations interested to further develop these models. </w:t>
      </w:r>
    </w:p>
    <w:p w14:paraId="2B23DDFA" w14:textId="50042C0B" w:rsidR="00DD275D" w:rsidRPr="00A52DEC" w:rsidRDefault="00DD275D" w:rsidP="00DD275D">
      <w:pPr>
        <w:rPr>
          <w:rFonts w:eastAsia="Calibri" w:cstheme="minorHAnsi"/>
          <w:b/>
          <w:lang w:val="en-SG" w:eastAsia="en-US"/>
        </w:rPr>
      </w:pPr>
      <w:r w:rsidRPr="00A52DEC">
        <w:rPr>
          <w:rFonts w:eastAsia="Calibri" w:cstheme="minorHAnsi"/>
          <w:b/>
          <w:lang w:val="en-SG" w:eastAsia="en-US"/>
        </w:rPr>
        <w:t xml:space="preserve">REQUEST FROM </w:t>
      </w:r>
      <w:r w:rsidR="00A52DEC" w:rsidRPr="00A52DEC">
        <w:rPr>
          <w:rFonts w:eastAsia="Calibri" w:cstheme="minorHAnsi"/>
          <w:b/>
          <w:lang w:val="en-SG" w:eastAsia="en-US"/>
        </w:rPr>
        <w:t>DIGITAL SQUARE</w:t>
      </w:r>
    </w:p>
    <w:p w14:paraId="693E8D8D" w14:textId="559BCC72" w:rsidR="00DD275D" w:rsidRPr="00A52DEC" w:rsidRDefault="00A52DEC" w:rsidP="007A7A9D">
      <w:r>
        <w:t>Digital Square has requested a landscape study</w:t>
      </w:r>
      <w:r w:rsidR="00585450">
        <w:t>, with in-depth case studies,</w:t>
      </w:r>
      <w:r>
        <w:t xml:space="preserve"> of the use of digital financial services in healthcare, focusing on its impact on financial protection</w:t>
      </w:r>
      <w:r w:rsidR="009D5A71">
        <w:t>, health seeking behavior,</w:t>
      </w:r>
      <w:r>
        <w:t xml:space="preserve"> and health systems functioning. </w:t>
      </w:r>
    </w:p>
    <w:p w14:paraId="7DC8B87D" w14:textId="77777777" w:rsidR="00DD275D" w:rsidRPr="00A52DEC" w:rsidRDefault="00DD275D" w:rsidP="00DD275D">
      <w:pPr>
        <w:rPr>
          <w:rFonts w:eastAsia="Calibri" w:cstheme="minorHAnsi"/>
          <w:b/>
          <w:lang w:val="en-SG" w:eastAsia="en-US"/>
        </w:rPr>
      </w:pPr>
      <w:r w:rsidRPr="00A52DEC">
        <w:rPr>
          <w:rFonts w:eastAsia="Calibri" w:cstheme="minorHAnsi"/>
          <w:b/>
          <w:lang w:val="en-SG" w:eastAsia="en-US"/>
        </w:rPr>
        <w:t>GOAL</w:t>
      </w:r>
    </w:p>
    <w:p w14:paraId="2183B94E" w14:textId="5D68B350" w:rsidR="00DD275D" w:rsidRPr="00A52DEC" w:rsidRDefault="00A52DEC" w:rsidP="007A7A9D">
      <w:r>
        <w:t xml:space="preserve">To support USAID’s Health Systems Strengthening initiatives using digital financial services and </w:t>
      </w:r>
      <w:r w:rsidR="009D5A71">
        <w:t xml:space="preserve">a financial inclusion approach </w:t>
      </w:r>
    </w:p>
    <w:p w14:paraId="14BAC4D7" w14:textId="31463C76" w:rsidR="00DD275D" w:rsidRPr="00A52DEC" w:rsidRDefault="00DD275D" w:rsidP="007A7A9D">
      <w:pPr>
        <w:rPr>
          <w:rFonts w:eastAsia="Calibri" w:cstheme="minorHAnsi"/>
          <w:b/>
          <w:lang w:val="en-SG" w:eastAsia="en-US"/>
        </w:rPr>
      </w:pPr>
      <w:r w:rsidRPr="00A52DEC">
        <w:rPr>
          <w:rFonts w:eastAsia="Calibri" w:cstheme="minorHAnsi"/>
          <w:b/>
          <w:lang w:val="en-SG" w:eastAsia="en-US"/>
        </w:rPr>
        <w:t>OBJECTIVES</w:t>
      </w:r>
    </w:p>
    <w:p w14:paraId="6E8A4ABD" w14:textId="3C1E2FD0" w:rsidR="00DD275D" w:rsidRDefault="009D5A71" w:rsidP="009D5A71">
      <w:pPr>
        <w:pStyle w:val="ListParagraph"/>
        <w:numPr>
          <w:ilvl w:val="0"/>
          <w:numId w:val="1"/>
        </w:numPr>
      </w:pPr>
      <w:r>
        <w:t xml:space="preserve">To </w:t>
      </w:r>
      <w:r w:rsidR="00FA4EB0">
        <w:t>identify best practices in the use of digital finan</w:t>
      </w:r>
      <w:r w:rsidR="007F5938">
        <w:t xml:space="preserve">cial services to improve </w:t>
      </w:r>
      <w:r w:rsidR="00FA4EB0">
        <w:t>both financial protection and health systems functioning.</w:t>
      </w:r>
    </w:p>
    <w:p w14:paraId="7B588236" w14:textId="61224D1C" w:rsidR="00FA4EB0" w:rsidRDefault="00FA4EB0" w:rsidP="009D5A71">
      <w:pPr>
        <w:pStyle w:val="ListParagraph"/>
        <w:numPr>
          <w:ilvl w:val="0"/>
          <w:numId w:val="1"/>
        </w:numPr>
      </w:pPr>
      <w:r>
        <w:t>To understand the enabling factors, path to success, and impact</w:t>
      </w:r>
      <w:r w:rsidR="000F1478">
        <w:t xml:space="preserve"> in</w:t>
      </w:r>
      <w:r>
        <w:t xml:space="preserve"> 2-3 </w:t>
      </w:r>
      <w:r w:rsidR="000F1478">
        <w:t>country case studies</w:t>
      </w:r>
    </w:p>
    <w:p w14:paraId="0802447E" w14:textId="6D1D0BF6" w:rsidR="00FA4EB0" w:rsidRPr="00A52DEC" w:rsidRDefault="00FA4EB0" w:rsidP="009D5A71">
      <w:pPr>
        <w:pStyle w:val="ListParagraph"/>
        <w:numPr>
          <w:ilvl w:val="0"/>
          <w:numId w:val="1"/>
        </w:numPr>
      </w:pPr>
      <w:r>
        <w:t>To document and study the evolution of the digital financial services field in healthcare and sharing its lessons with the broader global health community</w:t>
      </w:r>
    </w:p>
    <w:p w14:paraId="54FF11C5" w14:textId="77777777" w:rsidR="00585450" w:rsidRDefault="00585450" w:rsidP="008C4F83">
      <w:pPr>
        <w:tabs>
          <w:tab w:val="left" w:pos="2144"/>
          <w:tab w:val="right" w:pos="9090"/>
        </w:tabs>
        <w:rPr>
          <w:b/>
        </w:rPr>
      </w:pPr>
    </w:p>
    <w:p w14:paraId="5859A308" w14:textId="77777777" w:rsidR="00585450" w:rsidRDefault="00585450" w:rsidP="008C4F83">
      <w:pPr>
        <w:tabs>
          <w:tab w:val="left" w:pos="2144"/>
          <w:tab w:val="right" w:pos="9090"/>
        </w:tabs>
        <w:rPr>
          <w:b/>
        </w:rPr>
      </w:pPr>
    </w:p>
    <w:p w14:paraId="01D05C67" w14:textId="77777777" w:rsidR="00585450" w:rsidRDefault="00585450" w:rsidP="008C4F83">
      <w:pPr>
        <w:tabs>
          <w:tab w:val="left" w:pos="2144"/>
          <w:tab w:val="right" w:pos="9090"/>
        </w:tabs>
        <w:rPr>
          <w:b/>
        </w:rPr>
      </w:pPr>
    </w:p>
    <w:p w14:paraId="4B00756D" w14:textId="1DA5EA7C" w:rsidR="00E54388" w:rsidRDefault="00496C16" w:rsidP="008C4F83">
      <w:pPr>
        <w:tabs>
          <w:tab w:val="left" w:pos="2144"/>
          <w:tab w:val="right" w:pos="9090"/>
        </w:tabs>
        <w:rPr>
          <w:b/>
        </w:rPr>
      </w:pPr>
      <w:r>
        <w:rPr>
          <w:b/>
        </w:rPr>
        <w:t>OUR APPROACH</w:t>
      </w:r>
      <w:r w:rsidR="00E54388">
        <w:rPr>
          <w:b/>
        </w:rPr>
        <w:tab/>
      </w:r>
      <w:r w:rsidR="00E54388">
        <w:rPr>
          <w:b/>
        </w:rPr>
        <w:tab/>
      </w:r>
    </w:p>
    <w:p w14:paraId="66BA61C3" w14:textId="012151B8" w:rsidR="008C4F83" w:rsidRDefault="008C4F83" w:rsidP="00E54388">
      <w:pPr>
        <w:tabs>
          <w:tab w:val="left" w:pos="2144"/>
        </w:tabs>
        <w:rPr>
          <w:b/>
          <w:color w:val="767171" w:themeColor="background2" w:themeShade="80"/>
        </w:rPr>
      </w:pPr>
      <w:r>
        <w:rPr>
          <w:b/>
          <w:noProof/>
          <w:lang w:val="en-US" w:eastAsia="en-US"/>
        </w:rPr>
        <mc:AlternateContent>
          <mc:Choice Requires="wps">
            <w:drawing>
              <wp:anchor distT="0" distB="0" distL="114300" distR="114300" simplePos="0" relativeHeight="251659264" behindDoc="0" locked="0" layoutInCell="1" allowOverlap="1" wp14:anchorId="192D0731" wp14:editId="479F3E2F">
                <wp:simplePos x="0" y="0"/>
                <wp:positionH relativeFrom="column">
                  <wp:posOffset>-64770</wp:posOffset>
                </wp:positionH>
                <wp:positionV relativeFrom="paragraph">
                  <wp:posOffset>101600</wp:posOffset>
                </wp:positionV>
                <wp:extent cx="6057265" cy="0"/>
                <wp:effectExtent l="0" t="0" r="13335" b="25400"/>
                <wp:wrapNone/>
                <wp:docPr id="1" name="Straight Connector 1"/>
                <wp:cNvGraphicFramePr/>
                <a:graphic xmlns:a="http://schemas.openxmlformats.org/drawingml/2006/main">
                  <a:graphicData uri="http://schemas.microsoft.com/office/word/2010/wordprocessingShape">
                    <wps:wsp>
                      <wps:cNvCnPr/>
                      <wps:spPr>
                        <a:xfrm>
                          <a:off x="0" y="0"/>
                          <a:ext cx="6057265" cy="0"/>
                        </a:xfrm>
                        <a:prstGeom prst="line">
                          <a:avLst/>
                        </a:prstGeom>
                        <a:ln w="2222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27B652"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8pt" to="471.8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RDv+QBAAAlBAAADgAAAGRycy9lMm9Eb2MueG1srFPbjtsgEH2v1H9AvDd2LCWtrDj7kNX2pZeo&#10;2/0AwsVGBQYBGyd/3wEnTtVWVbVaP2CYOXM5h2Fzd7KGHGWIGlxHl4uaEuk4CO36jj59f3j3gZKY&#10;mBPMgJMdPctI77Zv32xG38oGBjBCBoJJXGxH39EhJd9WVeSDtCwuwEuHTgXBsoTH0FcisBGzW1M1&#10;db2uRgjCB+AyRrTeT066LfmVkjx9VSrKRExHsbdU1lDWQ16r7Ya1fWB+0PzSBntBF5Zph0XnVPcs&#10;MfIc9B+prOYBIqi04GArUEpzWTggm2X9G5vHgXlZuKA40c8yxddLy78c94FogXdHiWMWr+gxBab7&#10;IZEdOIcCQiDLrNPoY4vwnduHyyn6fcikTyrY/Ec65FS0Pc/aylMiHI3revW+Wa8o4VdfdQv0IaaP&#10;EizJm44a7TJt1rLjp5iwGEKvkGw2jowdbfBbFVgEo8WDNiY7y+jInQnkyPDSD31TMObZfgYx2VY1&#10;fpkS5p3h0+mWCX3GoTHTnoiWXTobOfXwTSoUDqktpybyyN7qih9FtJIFkTlEYYdzUP3voAs2h8ky&#10;xv8bOKNLRXBpDrTaQfhb1XS6tqom/JX1xDXTPoA4l2svcuAsFrUu7yYP+6/nEn573dufAAAA//8D&#10;AFBLAwQUAAYACAAAACEAueeK+eAAAAAJAQAADwAAAGRycy9kb3ducmV2LnhtbEyPT0vDQBDF74Lf&#10;YRnBW7vpH6rGbIpIBZEWtLbocZodk9DsbMhu2/TbO+JBj/PejzfvZfPeNepIXag9GxgNE1DEhbc1&#10;lwY270+DW1AhIltsPJOBMwWY55cXGabWn/iNjutYKgnhkKKBKsY21ToUFTkMQ98Si/flO4dRzq7U&#10;tsOThLtGj5Nkph3WLB8qbOmxomK/PjgDy9fP87PbLyer7Ytd1R/bhV9MN8ZcX/UP96Ai9fEPhp/6&#10;Uh1y6bTzB7ZBNQYGo2QsqBgz2STA3XRyA2r3K+g80/8X5N8AAAD//wMAUEsBAi0AFAAGAAgAAAAh&#10;AOSZw8D7AAAA4QEAABMAAAAAAAAAAAAAAAAAAAAAAFtDb250ZW50X1R5cGVzXS54bWxQSwECLQAU&#10;AAYACAAAACEAI7Jq4dcAAACUAQAACwAAAAAAAAAAAAAAAAAsAQAAX3JlbHMvLnJlbHNQSwECLQAU&#10;AAYACAAAACEASJRDv+QBAAAlBAAADgAAAAAAAAAAAAAAAAAsAgAAZHJzL2Uyb0RvYy54bWxQSwEC&#10;LQAUAAYACAAAACEAueeK+eAAAAAJAQAADwAAAAAAAAAAAAAAAAA8BAAAZHJzL2Rvd25yZXYueG1s&#10;UEsFBgAAAAAEAAQA8wAAAEkFAAAAAA==&#10;" strokecolor="#747070 [1614]" strokeweight="1.75pt">
                <v:stroke joinstyle="miter"/>
              </v:line>
            </w:pict>
          </mc:Fallback>
        </mc:AlternateContent>
      </w:r>
    </w:p>
    <w:p w14:paraId="4216CA71" w14:textId="1DA3A916" w:rsidR="00E54388" w:rsidRPr="008C4F83" w:rsidRDefault="008C4F83" w:rsidP="00E54388">
      <w:pPr>
        <w:tabs>
          <w:tab w:val="left" w:pos="2144"/>
        </w:tabs>
        <w:rPr>
          <w:b/>
          <w:color w:val="767171" w:themeColor="background2" w:themeShade="80"/>
        </w:rPr>
      </w:pPr>
      <w:r>
        <w:rPr>
          <w:b/>
          <w:color w:val="767171" w:themeColor="background2" w:themeShade="80"/>
        </w:rPr>
        <w:t>CURRENT WORK (NOT PART OF PROPOSED DIGITAL SQUARE GRANT)</w:t>
      </w:r>
    </w:p>
    <w:p w14:paraId="17425226" w14:textId="22B522FC" w:rsidR="00496C16" w:rsidRPr="00796B50" w:rsidRDefault="00496C16" w:rsidP="00496C16">
      <w:pPr>
        <w:rPr>
          <w:b/>
          <w:color w:val="767171" w:themeColor="background2" w:themeShade="80"/>
        </w:rPr>
      </w:pPr>
      <w:r w:rsidRPr="005376C6">
        <w:rPr>
          <w:b/>
          <w:lang w:val="en-SG"/>
        </w:rPr>
        <w:t>Landscape study</w:t>
      </w:r>
      <w:r w:rsidR="000D643A" w:rsidRPr="005376C6">
        <w:rPr>
          <w:b/>
          <w:lang w:val="en-SG"/>
        </w:rPr>
        <w:t xml:space="preserve"> for six markets in Asia</w:t>
      </w:r>
      <w:r w:rsidRPr="005376C6">
        <w:rPr>
          <w:b/>
          <w:lang w:val="en-SG"/>
        </w:rPr>
        <w:t xml:space="preserve"> </w:t>
      </w:r>
    </w:p>
    <w:p w14:paraId="0E677C04" w14:textId="7C6C5B63" w:rsidR="00496C16" w:rsidRPr="00496C16" w:rsidRDefault="00496C16" w:rsidP="00496C16">
      <w:r w:rsidRPr="00496C16">
        <w:rPr>
          <w:lang w:val="en-SG"/>
        </w:rPr>
        <w:t xml:space="preserve">ACCESS Health International, with support from MetLife Foundation, recently established the Fintech for Health Innovation Platform. </w:t>
      </w:r>
      <w:r w:rsidRPr="00496C16">
        <w:t xml:space="preserve">The primary purpose of the platform is to help people pay for and access the care they need, when they need it, avoiding financial hardship while improving their health. The </w:t>
      </w:r>
      <w:r>
        <w:t xml:space="preserve">Fintech for Health </w:t>
      </w:r>
      <w:r w:rsidRPr="00496C16">
        <w:t xml:space="preserve">program objectives are: </w:t>
      </w:r>
      <w:r w:rsidRPr="00496C16">
        <w:rPr>
          <w:lang w:val="en-SG"/>
        </w:rPr>
        <w:t xml:space="preserve">1) to test and scale projects that help people pay for and afford the healthcare they need, using digital financial services and a financial inclusion approach, 2) to promote cross-sectoral innovation in healthcare access and affordability, and 3) to conduct research on best practices and innovations in fintech applications in healthcare. </w:t>
      </w:r>
    </w:p>
    <w:p w14:paraId="330D59E7" w14:textId="26F1B357" w:rsidR="00496C16" w:rsidRPr="00496C16" w:rsidRDefault="00496C16" w:rsidP="00496C16">
      <w:pPr>
        <w:rPr>
          <w:lang w:val="en-SG"/>
        </w:rPr>
      </w:pPr>
      <w:r w:rsidRPr="00496C16">
        <w:rPr>
          <w:lang w:val="en-SG"/>
        </w:rPr>
        <w:t xml:space="preserve">Activities under the Fintech for Health Innovation Platform fall into three categories: 1) </w:t>
      </w:r>
      <w:r w:rsidRPr="00496C16">
        <w:rPr>
          <w:bCs/>
        </w:rPr>
        <w:t xml:space="preserve">knowledge building </w:t>
      </w:r>
      <w:r w:rsidRPr="00496C16">
        <w:t xml:space="preserve">and </w:t>
      </w:r>
      <w:r w:rsidRPr="00496C16">
        <w:rPr>
          <w:bCs/>
        </w:rPr>
        <w:t xml:space="preserve">thought leadership </w:t>
      </w:r>
      <w:r w:rsidRPr="00496C16">
        <w:t xml:space="preserve">on best practices and opportunities in </w:t>
      </w:r>
      <w:r>
        <w:t>F</w:t>
      </w:r>
      <w:r w:rsidRPr="00496C16">
        <w:t xml:space="preserve">intech for </w:t>
      </w:r>
      <w:r>
        <w:t>H</w:t>
      </w:r>
      <w:r w:rsidRPr="00496C16">
        <w:t>ealth, which includes documenting current models both in our target markets and globally</w:t>
      </w:r>
      <w:r>
        <w:t>, along with creating a database of key health financing challenges that would benefit from digital financial services</w:t>
      </w:r>
      <w:r w:rsidRPr="00496C16">
        <w:t xml:space="preserve">; 2) </w:t>
      </w:r>
      <w:r w:rsidRPr="00496C16">
        <w:rPr>
          <w:bCs/>
        </w:rPr>
        <w:t xml:space="preserve">engagement </w:t>
      </w:r>
      <w:r w:rsidRPr="00496C16">
        <w:t xml:space="preserve">between digital financial services and healthcare industries to facilitate multisectoral partnerships; and 3) </w:t>
      </w:r>
      <w:r w:rsidRPr="00496C16">
        <w:rPr>
          <w:bCs/>
        </w:rPr>
        <w:t xml:space="preserve">implementation </w:t>
      </w:r>
      <w:r w:rsidRPr="00496C16">
        <w:t xml:space="preserve">of on-the-ground digital financial service projects in healthcare systems. </w:t>
      </w:r>
      <w:r>
        <w:t xml:space="preserve">Our goals </w:t>
      </w:r>
      <w:proofErr w:type="gramStart"/>
      <w:r>
        <w:t>is</w:t>
      </w:r>
      <w:proofErr w:type="gramEnd"/>
      <w:r>
        <w:t xml:space="preserve"> to</w:t>
      </w:r>
      <w:r w:rsidRPr="00496C16">
        <w:rPr>
          <w:lang w:val="en-SG"/>
        </w:rPr>
        <w:t xml:space="preserve"> facilitate the co-creation and launch of nine projects, aimed to reach 500,000 low- and moderate-income people, in </w:t>
      </w:r>
      <w:r w:rsidRPr="00496C16">
        <w:rPr>
          <w:b/>
          <w:lang w:val="en-SG"/>
        </w:rPr>
        <w:t>Bangladesh, China, India, Malaysia, Nepal, Vietnam</w:t>
      </w:r>
      <w:r w:rsidRPr="00496C16">
        <w:rPr>
          <w:lang w:val="en-SG"/>
        </w:rPr>
        <w:t xml:space="preserve">. </w:t>
      </w:r>
    </w:p>
    <w:p w14:paraId="223ED274" w14:textId="63FADE92" w:rsidR="00496C16" w:rsidRDefault="00496C16" w:rsidP="00496C16">
      <w:pPr>
        <w:widowControl w:val="0"/>
        <w:autoSpaceDE w:val="0"/>
        <w:autoSpaceDN w:val="0"/>
        <w:adjustRightInd w:val="0"/>
        <w:rPr>
          <w:rFonts w:cs="Times New Roman"/>
          <w:lang w:val="en-SG"/>
        </w:rPr>
      </w:pPr>
      <w:r w:rsidRPr="00496C16">
        <w:rPr>
          <w:rFonts w:cs="Times New Roman"/>
          <w:lang w:val="en-SG"/>
        </w:rPr>
        <w:t xml:space="preserve">We will complete the first phase of research for the MetLife Foundation project in February 2020, producing a white paper on the opportunities for </w:t>
      </w:r>
      <w:r w:rsidRPr="00496C16">
        <w:rPr>
          <w:rFonts w:cs="Times New Roman"/>
        </w:rPr>
        <w:t xml:space="preserve">digital financial service </w:t>
      </w:r>
      <w:r w:rsidRPr="00496C16">
        <w:rPr>
          <w:rFonts w:cs="Times New Roman"/>
          <w:lang w:val="en-SG"/>
        </w:rPr>
        <w:t>in healthcare, an overview of existing models using digital finance, and recommendations</w:t>
      </w:r>
      <w:r>
        <w:rPr>
          <w:rFonts w:cs="Times New Roman"/>
          <w:lang w:val="en-SG"/>
        </w:rPr>
        <w:t xml:space="preserve"> for prioritization of new models</w:t>
      </w:r>
      <w:r w:rsidRPr="00496C16">
        <w:rPr>
          <w:rFonts w:cs="Times New Roman"/>
          <w:lang w:val="en-SG"/>
        </w:rPr>
        <w:t xml:space="preserve">. In the paper, we will outline why </w:t>
      </w:r>
      <w:r w:rsidRPr="00496C16">
        <w:rPr>
          <w:rFonts w:cs="Times New Roman"/>
        </w:rPr>
        <w:t xml:space="preserve">digital financial services </w:t>
      </w:r>
      <w:r w:rsidRPr="00496C16">
        <w:rPr>
          <w:rFonts w:cs="Times New Roman"/>
          <w:lang w:val="en-SG"/>
        </w:rPr>
        <w:t xml:space="preserve">have an important role to play in helping low- and moderate-income people pay for and access healthcare and describe the health financing challenges in the six focus markets in Asia markets. The paper will also include our framework for mapping </w:t>
      </w:r>
      <w:r w:rsidRPr="00496C16">
        <w:rPr>
          <w:rFonts w:cs="Times New Roman"/>
        </w:rPr>
        <w:t xml:space="preserve">digital financial services </w:t>
      </w:r>
      <w:r w:rsidRPr="00496C16">
        <w:rPr>
          <w:rFonts w:cs="Times New Roman"/>
          <w:lang w:val="en-SG"/>
        </w:rPr>
        <w:t xml:space="preserve">in healthcare. </w:t>
      </w:r>
    </w:p>
    <w:p w14:paraId="27C7EACC" w14:textId="3B874D82" w:rsidR="008C4F83" w:rsidRPr="00496C16" w:rsidRDefault="008C4F83" w:rsidP="00496C16">
      <w:pPr>
        <w:widowControl w:val="0"/>
        <w:autoSpaceDE w:val="0"/>
        <w:autoSpaceDN w:val="0"/>
        <w:adjustRightInd w:val="0"/>
        <w:rPr>
          <w:rFonts w:cs="Times New Roman"/>
          <w:lang w:val="en-SG"/>
        </w:rPr>
      </w:pPr>
      <w:r>
        <w:rPr>
          <w:b/>
          <w:noProof/>
          <w:lang w:val="en-US" w:eastAsia="en-US"/>
        </w:rPr>
        <mc:AlternateContent>
          <mc:Choice Requires="wps">
            <w:drawing>
              <wp:anchor distT="0" distB="0" distL="114300" distR="114300" simplePos="0" relativeHeight="251661312" behindDoc="0" locked="0" layoutInCell="1" allowOverlap="1" wp14:anchorId="50B543F3" wp14:editId="08BD31FD">
                <wp:simplePos x="0" y="0"/>
                <wp:positionH relativeFrom="column">
                  <wp:posOffset>-62865</wp:posOffset>
                </wp:positionH>
                <wp:positionV relativeFrom="paragraph">
                  <wp:posOffset>93345</wp:posOffset>
                </wp:positionV>
                <wp:extent cx="6057265" cy="0"/>
                <wp:effectExtent l="0" t="0" r="13335" b="25400"/>
                <wp:wrapNone/>
                <wp:docPr id="2" name="Straight Connector 2"/>
                <wp:cNvGraphicFramePr/>
                <a:graphic xmlns:a="http://schemas.openxmlformats.org/drawingml/2006/main">
                  <a:graphicData uri="http://schemas.microsoft.com/office/word/2010/wordprocessingShape">
                    <wps:wsp>
                      <wps:cNvCnPr/>
                      <wps:spPr>
                        <a:xfrm>
                          <a:off x="0" y="0"/>
                          <a:ext cx="6057265" cy="0"/>
                        </a:xfrm>
                        <a:prstGeom prst="line">
                          <a:avLst/>
                        </a:prstGeom>
                        <a:ln w="2222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B70E5E"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7.35pt" to="472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tt+QBAAAlBAAADgAAAGRycy9lMm9Eb2MueG1srFPbjtsgEH2v1H9AvDd2LCWtrDj7kNX2pZeo&#10;2/0AgsFGBQYBGzt/3wE7TtVWVbVaP2CYOXM5h2F3NxpNzsIHBbah61VJibAcWmW7hj59f3j3gZIQ&#10;mW2ZBisaehGB3u3fvtkNrhYV9KBb4QkmsaEeXEP7GF1dFIH3wrCwAicsOiV4wyIefVe0ng2Y3eii&#10;KsttMYBvnQcuQkDr/eSk+5xfSsHjVymDiEQ3FHuLefV5PaW12O9Y3XnmesXnNtgLujBMWSy6pLpn&#10;kZFnr/5IZRT3EEDGFQdTgJSKi8wB2azL39g89syJzAXFCW6RKbxeWv7lfPREtQ2tKLHM4BU9Rs9U&#10;10dyAGtRQPCkSjoNLtQIP9ijn0/BHX0iPUpv0h/pkDFre1m0FWMkHI3bcvO+2m4o4VdfcQt0PsSP&#10;AgxJm4ZqZRNtVrPzpxCxGEKvkGTWlgzYMH6bDAugVfugtE7OPDrioD05M7z0U1dljH42n6GdbJsS&#10;v0QJ8y7w6XTLhD5t0ZhoT0TzLl60mHr4JiQKh9TWUxNpZG912x/ruYK2iEwhEjtcgsp/B83YFCby&#10;GP9v4ILOFcHGJdAoC/5vVeN4bVVO+CvriWuifYL2kq89y4GzmNWa300a9l/POfz2uvc/AQAA//8D&#10;AFBLAwQUAAYACAAAACEA8wq13d8AAAAIAQAADwAAAGRycy9kb3ducmV2LnhtbEyPT0vDQBDF74Lf&#10;YZmCt3ZTDdqk2RSRCiItaP+gx212moRmZ0N226bfviMe9DjvPd78XjbrbSNO2PnakYLxKAKBVDhT&#10;U6lgs34dTkD4oMnoxhEquKCHWX57k+nUuDN94mkVSsEl5FOtoAqhTaX0RYVW+5Frkdjbu87qwGdX&#10;StPpM5fbRt5H0aO0uib+UOkWXyosDqujVbD4+L682cPiYbl9N8v6azt383ij1N2gf56CCNiHvzD8&#10;4DM65My0c0cyXjQKhknCSdbjJxDsJ3HM23a/gswz+X9AfgUAAP//AwBQSwECLQAUAAYACAAAACEA&#10;5JnDwPsAAADhAQAAEwAAAAAAAAAAAAAAAAAAAAAAW0NvbnRlbnRfVHlwZXNdLnhtbFBLAQItABQA&#10;BgAIAAAAIQAjsmrh1wAAAJQBAAALAAAAAAAAAAAAAAAAACwBAABfcmVscy8ucmVsc1BLAQItABQA&#10;BgAIAAAAIQABYS235AEAACUEAAAOAAAAAAAAAAAAAAAAACwCAABkcnMvZTJvRG9jLnhtbFBLAQIt&#10;ABQABgAIAAAAIQDzCrXd3wAAAAgBAAAPAAAAAAAAAAAAAAAAADwEAABkcnMvZG93bnJldi54bWxQ&#10;SwUGAAAAAAQABADzAAAASAUAAAAA&#10;" strokecolor="#747070 [1614]" strokeweight="1.75pt">
                <v:stroke joinstyle="miter"/>
              </v:line>
            </w:pict>
          </mc:Fallback>
        </mc:AlternateContent>
      </w:r>
    </w:p>
    <w:p w14:paraId="2A350BF3" w14:textId="39A9B7D9" w:rsidR="008C4F83" w:rsidRPr="008C4F83" w:rsidRDefault="008C4F83" w:rsidP="00496C16">
      <w:pPr>
        <w:widowControl w:val="0"/>
        <w:autoSpaceDE w:val="0"/>
        <w:autoSpaceDN w:val="0"/>
        <w:adjustRightInd w:val="0"/>
        <w:rPr>
          <w:rFonts w:cs="Times New Roman"/>
          <w:b/>
          <w:color w:val="767171" w:themeColor="background2" w:themeShade="80"/>
          <w:lang w:val="en-SG"/>
        </w:rPr>
      </w:pPr>
      <w:r>
        <w:rPr>
          <w:rFonts w:cs="Times New Roman"/>
          <w:b/>
          <w:color w:val="767171" w:themeColor="background2" w:themeShade="80"/>
          <w:lang w:val="en-SG"/>
        </w:rPr>
        <w:t xml:space="preserve">PROPOSED WORK </w:t>
      </w:r>
      <w:r w:rsidRPr="00796B50">
        <w:rPr>
          <w:rFonts w:cs="Times New Roman"/>
          <w:b/>
          <w:color w:val="767171" w:themeColor="background2" w:themeShade="80"/>
          <w:lang w:val="en-SG"/>
        </w:rPr>
        <w:t>(</w:t>
      </w:r>
      <w:r>
        <w:rPr>
          <w:rFonts w:cs="Times New Roman"/>
          <w:b/>
          <w:color w:val="767171" w:themeColor="background2" w:themeShade="80"/>
          <w:lang w:val="en-SG"/>
        </w:rPr>
        <w:t>WITH SUPPORT FROM DIGITAL SQUARE</w:t>
      </w:r>
      <w:r w:rsidRPr="00796B50">
        <w:rPr>
          <w:rFonts w:cs="Times New Roman"/>
          <w:b/>
          <w:color w:val="767171" w:themeColor="background2" w:themeShade="80"/>
          <w:lang w:val="en-SG"/>
        </w:rPr>
        <w:t>)</w:t>
      </w:r>
    </w:p>
    <w:p w14:paraId="5F1C7651" w14:textId="77BEF59D" w:rsidR="00496C16" w:rsidRPr="00796B50" w:rsidRDefault="00496C16" w:rsidP="00496C16">
      <w:pPr>
        <w:widowControl w:val="0"/>
        <w:autoSpaceDE w:val="0"/>
        <w:autoSpaceDN w:val="0"/>
        <w:adjustRightInd w:val="0"/>
        <w:rPr>
          <w:rFonts w:cs="Times New Roman"/>
          <w:b/>
          <w:color w:val="767171" w:themeColor="background2" w:themeShade="80"/>
          <w:lang w:val="en-SG"/>
        </w:rPr>
      </w:pPr>
      <w:r w:rsidRPr="005376C6">
        <w:rPr>
          <w:rFonts w:cs="Times New Roman"/>
          <w:b/>
          <w:lang w:val="en-SG"/>
        </w:rPr>
        <w:t>Case studies of best practices</w:t>
      </w:r>
      <w:r w:rsidR="000D643A" w:rsidRPr="005376C6">
        <w:rPr>
          <w:rFonts w:cs="Times New Roman"/>
          <w:b/>
          <w:lang w:val="en-SG"/>
        </w:rPr>
        <w:t xml:space="preserve"> or promising models</w:t>
      </w:r>
      <w:r w:rsidRPr="005376C6">
        <w:rPr>
          <w:rFonts w:cs="Times New Roman"/>
          <w:b/>
          <w:lang w:val="en-SG"/>
        </w:rPr>
        <w:t xml:space="preserve"> </w:t>
      </w:r>
    </w:p>
    <w:p w14:paraId="1E8617FB" w14:textId="03B644E1" w:rsidR="002C040D" w:rsidRDefault="000D643A" w:rsidP="002C040D">
      <w:r>
        <w:t xml:space="preserve">Upon completion of the landscape study, ACCESS Health </w:t>
      </w:r>
      <w:r w:rsidR="00A455BD">
        <w:t xml:space="preserve">and </w:t>
      </w:r>
      <w:proofErr w:type="spellStart"/>
      <w:r w:rsidR="00A455BD">
        <w:t>MicroSave</w:t>
      </w:r>
      <w:proofErr w:type="spellEnd"/>
      <w:r w:rsidR="00A455BD">
        <w:t xml:space="preserve"> Consulting </w:t>
      </w:r>
      <w:r>
        <w:t>will conduct in-depth documentation and analysis of two country case studies</w:t>
      </w:r>
      <w:r w:rsidR="00462D55">
        <w:t xml:space="preserve"> in Asia</w:t>
      </w:r>
      <w:r w:rsidR="00C379C0">
        <w:t xml:space="preserve"> and one case study in Africa</w:t>
      </w:r>
      <w:r>
        <w:t xml:space="preserve">. </w:t>
      </w:r>
      <w:r w:rsidR="00297625">
        <w:t xml:space="preserve">These case studies will complement the global landscape assessment on digital finance in healthcare also funded by USAID and overseen by Digital Square. </w:t>
      </w:r>
    </w:p>
    <w:p w14:paraId="26BE7DE7" w14:textId="1CFE673F" w:rsidR="00B4388D" w:rsidRDefault="00A455BD" w:rsidP="002C040D">
      <w:r>
        <w:t>In India</w:t>
      </w:r>
      <w:r w:rsidR="002C040D">
        <w:t xml:space="preserve"> there is an opportunity to document and study the adoption of digital financial services in healthcare systems as it is happening. The National Payments Corporation of India recently created the united payment interface (UPI), which now represents over half of digital payments in India. With UPI, use of digital financial services is expected to increase ten-fold between 2017 and 2020. As an </w:t>
      </w:r>
      <w:r w:rsidR="002C040D">
        <w:lastRenderedPageBreak/>
        <w:t>“active” or “live” case study, we will work with implementing health organizations, patient groups, and related payments platforms to study the effect of digital financial services in real time.</w:t>
      </w:r>
    </w:p>
    <w:p w14:paraId="74F0C21C" w14:textId="0ABEF237" w:rsidR="00B4388D" w:rsidRDefault="00B4388D" w:rsidP="002C040D">
      <w:r>
        <w:t>Indonesia</w:t>
      </w:r>
      <w:r w:rsidR="00FA3847">
        <w:t xml:space="preserve"> has its sights set on becoming the Southeast Asia leader in digital payments. Local and foreign </w:t>
      </w:r>
      <w:proofErr w:type="spellStart"/>
      <w:r w:rsidR="00FA3847">
        <w:t>fintech</w:t>
      </w:r>
      <w:proofErr w:type="spellEnd"/>
      <w:r w:rsidR="00FA3847">
        <w:t xml:space="preserve"> ‘super apps’ are competing for market share, with healthcare offerings significant to their value proposition to customers. </w:t>
      </w:r>
      <w:proofErr w:type="spellStart"/>
      <w:r w:rsidR="00FA3847">
        <w:t>HaloDoc</w:t>
      </w:r>
      <w:proofErr w:type="spellEnd"/>
      <w:r w:rsidR="00FA3847">
        <w:t xml:space="preserve"> (built on the Go-</w:t>
      </w:r>
      <w:proofErr w:type="spellStart"/>
      <w:r w:rsidR="00FA3847">
        <w:t>Jek</w:t>
      </w:r>
      <w:proofErr w:type="spellEnd"/>
      <w:r w:rsidR="00FA3847">
        <w:t xml:space="preserve"> platform), Grab Health (a joint venture between Grab and </w:t>
      </w:r>
      <w:proofErr w:type="spellStart"/>
      <w:r w:rsidR="00FA3847">
        <w:t>PingAn</w:t>
      </w:r>
      <w:proofErr w:type="spellEnd"/>
      <w:r w:rsidR="00FA3847">
        <w:t xml:space="preserve"> Good Doctor), and </w:t>
      </w:r>
      <w:proofErr w:type="spellStart"/>
      <w:r w:rsidR="00FA3847">
        <w:t>Alodokter</w:t>
      </w:r>
      <w:proofErr w:type="spellEnd"/>
      <w:r w:rsidR="00FA3847">
        <w:t xml:space="preserve"> are vying for the large unbanked population that is quickly moving from cash </w:t>
      </w:r>
      <w:proofErr w:type="gramStart"/>
      <w:r w:rsidR="00FA3847">
        <w:t>to</w:t>
      </w:r>
      <w:proofErr w:type="gramEnd"/>
      <w:r w:rsidR="00FA3847">
        <w:t xml:space="preserve"> digital. Simultaneously, the </w:t>
      </w:r>
      <w:proofErr w:type="spellStart"/>
      <w:r w:rsidR="00FA3847">
        <w:t>Indonsian</w:t>
      </w:r>
      <w:proofErr w:type="spellEnd"/>
      <w:r w:rsidR="00FA3847">
        <w:t xml:space="preserve"> healthc</w:t>
      </w:r>
      <w:r w:rsidR="00C379C0">
        <w:t>are system is rapidly adapting to</w:t>
      </w:r>
      <w:r w:rsidR="00FA3847">
        <w:t xml:space="preserve"> digital infrastructure and innovations, as digital technology provides a pragmatic path for Indonesia to provide higher quality care in what is otherwise a low-quality healthcare system. </w:t>
      </w:r>
    </w:p>
    <w:p w14:paraId="5C59C37F" w14:textId="77FCA534" w:rsidR="00A455BD" w:rsidRDefault="00A455BD" w:rsidP="002C040D">
      <w:r>
        <w:t xml:space="preserve">In order for these models to succeed in Asia, we need to understand the mechanisms of success already proven in Eastern Africa and other regions globally and benchmark them against newer models emerging in Asia. Toward that end, we suggest studying the </w:t>
      </w:r>
      <w:r w:rsidRPr="00C379C0">
        <w:t xml:space="preserve">M-TIBA </w:t>
      </w:r>
      <w:r>
        <w:t xml:space="preserve">in Kenya, as M-TIBA is probably the most well known and most asked about example of </w:t>
      </w:r>
      <w:proofErr w:type="spellStart"/>
      <w:r>
        <w:t>fintech</w:t>
      </w:r>
      <w:proofErr w:type="spellEnd"/>
      <w:r>
        <w:t xml:space="preserve"> in healthcare and thus is an imperative for study and documentation.</w:t>
      </w:r>
    </w:p>
    <w:p w14:paraId="2F9C4574" w14:textId="6A527846" w:rsidR="000D643A" w:rsidRPr="000C6FD4" w:rsidRDefault="000C6FD4" w:rsidP="000C6FD4">
      <w:r>
        <w:rPr>
          <w:rFonts w:cs="Times New Roman"/>
          <w:lang w:val="en-SG"/>
        </w:rPr>
        <w:t>This</w:t>
      </w:r>
      <w:r w:rsidR="00496C16" w:rsidRPr="00496C16">
        <w:rPr>
          <w:rFonts w:cs="Times New Roman"/>
          <w:lang w:val="en-SG"/>
        </w:rPr>
        <w:t xml:space="preserve"> second phase </w:t>
      </w:r>
      <w:r w:rsidR="00496C16">
        <w:rPr>
          <w:rFonts w:cs="Times New Roman"/>
          <w:lang w:val="en-SG"/>
        </w:rPr>
        <w:t xml:space="preserve">of research, with support from </w:t>
      </w:r>
      <w:r w:rsidR="00496C16" w:rsidRPr="00496C16">
        <w:rPr>
          <w:rFonts w:cs="Times New Roman"/>
          <w:lang w:val="en-SG"/>
        </w:rPr>
        <w:t>Digital Sq</w:t>
      </w:r>
      <w:r w:rsidR="00496C16">
        <w:rPr>
          <w:rFonts w:cs="Times New Roman"/>
          <w:lang w:val="en-SG"/>
        </w:rPr>
        <w:t xml:space="preserve">uare, would allow us to </w:t>
      </w:r>
      <w:r w:rsidR="00496C16" w:rsidRPr="00496C16">
        <w:rPr>
          <w:rFonts w:cs="Times New Roman"/>
          <w:lang w:val="en-SG"/>
        </w:rPr>
        <w:t>further</w:t>
      </w:r>
      <w:r w:rsidR="00496C16">
        <w:rPr>
          <w:rFonts w:cs="Times New Roman"/>
          <w:lang w:val="en-SG"/>
        </w:rPr>
        <w:t xml:space="preserve"> explore</w:t>
      </w:r>
      <w:r w:rsidR="00496C16" w:rsidRPr="00496C16">
        <w:rPr>
          <w:rFonts w:cs="Times New Roman"/>
          <w:lang w:val="en-SG"/>
        </w:rPr>
        <w:t xml:space="preserve"> the enablers and barriers for successful </w:t>
      </w:r>
      <w:r w:rsidR="00496C16" w:rsidRPr="00496C16">
        <w:rPr>
          <w:rFonts w:cs="Times New Roman"/>
        </w:rPr>
        <w:t xml:space="preserve">digital financial service </w:t>
      </w:r>
      <w:r w:rsidR="00496C16" w:rsidRPr="00496C16">
        <w:rPr>
          <w:rFonts w:cs="Times New Roman"/>
          <w:lang w:val="en-SG"/>
        </w:rPr>
        <w:t>models in</w:t>
      </w:r>
      <w:r w:rsidR="00462D55">
        <w:rPr>
          <w:rFonts w:cs="Times New Roman"/>
          <w:lang w:val="en-SG"/>
        </w:rPr>
        <w:t xml:space="preserve"> healthcare</w:t>
      </w:r>
      <w:r w:rsidR="00496C16" w:rsidRPr="00496C16">
        <w:rPr>
          <w:rFonts w:cs="Times New Roman"/>
          <w:lang w:val="en-SG"/>
        </w:rPr>
        <w:t>, with a pragmatic approach that channels our research directly towards partnerships and solutions. The results of this second phase of research will benefit both USAID-funded projects on digital financing and will inform our own approach to project facilit</w:t>
      </w:r>
      <w:r w:rsidR="000D643A">
        <w:rPr>
          <w:rFonts w:cs="Times New Roman"/>
          <w:lang w:val="en-SG"/>
        </w:rPr>
        <w:t xml:space="preserve">ation under Fintech for Health. </w:t>
      </w:r>
    </w:p>
    <w:p w14:paraId="65F4D8AF" w14:textId="325AA22B" w:rsidR="00D932C0" w:rsidRPr="00D932C0" w:rsidRDefault="00FE13C6" w:rsidP="00D932C0">
      <w:r>
        <w:t>In addition to studying successful models of digital financial services in healthcare, we</w:t>
      </w:r>
      <w:r w:rsidR="00D932C0" w:rsidRPr="00D932C0">
        <w:rPr>
          <w:rFonts w:eastAsia="Times New Roman" w:cs="Times New Roman"/>
        </w:rPr>
        <w:t xml:space="preserve"> will also interview leadership from models that seemed</w:t>
      </w:r>
      <w:r w:rsidR="0022274E">
        <w:rPr>
          <w:rFonts w:eastAsia="Times New Roman" w:cs="Times New Roman"/>
        </w:rPr>
        <w:t xml:space="preserve"> promising but did not succeed.</w:t>
      </w:r>
    </w:p>
    <w:p w14:paraId="748725DA" w14:textId="4F454BEF" w:rsidR="0002230F" w:rsidRPr="00796B50" w:rsidRDefault="00D932C0" w:rsidP="00D932C0">
      <w:pPr>
        <w:rPr>
          <w:rFonts w:eastAsia="Times New Roman" w:cs="Times New Roman"/>
          <w:color w:val="767171" w:themeColor="background2" w:themeShade="80"/>
        </w:rPr>
      </w:pPr>
      <w:r w:rsidRPr="0002230F">
        <w:rPr>
          <w:rFonts w:eastAsia="Times New Roman" w:cs="Times New Roman"/>
          <w:b/>
        </w:rPr>
        <w:t>Analysis of fi</w:t>
      </w:r>
      <w:r w:rsidR="0022274E" w:rsidRPr="0002230F">
        <w:rPr>
          <w:rFonts w:eastAsia="Times New Roman" w:cs="Times New Roman"/>
          <w:b/>
        </w:rPr>
        <w:t>ndings and recommendations</w:t>
      </w:r>
      <w:r w:rsidR="00796B50">
        <w:rPr>
          <w:rFonts w:eastAsia="Times New Roman" w:cs="Times New Roman"/>
          <w:b/>
        </w:rPr>
        <w:t xml:space="preserve"> </w:t>
      </w:r>
    </w:p>
    <w:p w14:paraId="7D29AAA8" w14:textId="2BC5EDC0" w:rsidR="00D932C0" w:rsidRDefault="0022274E" w:rsidP="00D932C0">
      <w:pPr>
        <w:rPr>
          <w:rFonts w:eastAsia="Times New Roman" w:cs="Times New Roman"/>
        </w:rPr>
      </w:pPr>
      <w:r>
        <w:rPr>
          <w:rFonts w:eastAsia="Times New Roman" w:cs="Times New Roman"/>
        </w:rPr>
        <w:t>Upon completion of the</w:t>
      </w:r>
      <w:r w:rsidR="00D932C0" w:rsidRPr="00D932C0">
        <w:rPr>
          <w:rFonts w:eastAsia="Times New Roman" w:cs="Times New Roman"/>
        </w:rPr>
        <w:t xml:space="preserve"> desktop research and interviews</w:t>
      </w:r>
      <w:r>
        <w:rPr>
          <w:rFonts w:eastAsia="Times New Roman" w:cs="Times New Roman"/>
        </w:rPr>
        <w:t>,</w:t>
      </w:r>
      <w:r w:rsidR="00D932C0" w:rsidRPr="00D932C0">
        <w:rPr>
          <w:rFonts w:eastAsia="Times New Roman" w:cs="Times New Roman"/>
        </w:rPr>
        <w:t xml:space="preserve"> we will identify common success factors and barriers, creating a global reference of </w:t>
      </w:r>
      <w:r w:rsidR="00796B50">
        <w:rPr>
          <w:rFonts w:eastAsia="Times New Roman" w:cs="Times New Roman"/>
        </w:rPr>
        <w:t>factors that are needed in all Fintech for H</w:t>
      </w:r>
      <w:r w:rsidR="00D932C0" w:rsidRPr="00D932C0">
        <w:rPr>
          <w:rFonts w:eastAsia="Times New Roman" w:cs="Times New Roman"/>
        </w:rPr>
        <w:t>ealth program</w:t>
      </w:r>
      <w:r w:rsidR="00796B50">
        <w:rPr>
          <w:rFonts w:eastAsia="Times New Roman" w:cs="Times New Roman"/>
        </w:rPr>
        <w:t>s</w:t>
      </w:r>
      <w:r w:rsidR="00D932C0" w:rsidRPr="00D932C0">
        <w:rPr>
          <w:rFonts w:eastAsia="Times New Roman" w:cs="Times New Roman"/>
        </w:rPr>
        <w:t xml:space="preserve"> to be successful versus elements that require adaptation to the local context. As we anticipate that partnerships will be key to these models, we will conduct general stakeholder mapping and engagement exercises on the roles of non-traditional partners in health</w:t>
      </w:r>
      <w:r w:rsidR="00796B50">
        <w:rPr>
          <w:rFonts w:eastAsia="Times New Roman" w:cs="Times New Roman"/>
        </w:rPr>
        <w:t>, including partners outside of both financing and healthcare</w:t>
      </w:r>
      <w:r w:rsidR="00D932C0" w:rsidRPr="00D932C0">
        <w:rPr>
          <w:rFonts w:eastAsia="Times New Roman" w:cs="Times New Roman"/>
        </w:rPr>
        <w:t xml:space="preserve">. Recommendations for design and implementation of </w:t>
      </w:r>
      <w:r w:rsidR="00D932C0" w:rsidRPr="00D932C0">
        <w:rPr>
          <w:rFonts w:cs="Times New Roman"/>
        </w:rPr>
        <w:t xml:space="preserve">digital financial services </w:t>
      </w:r>
      <w:r w:rsidR="00D932C0" w:rsidRPr="00D932C0">
        <w:rPr>
          <w:rFonts w:eastAsia="Times New Roman" w:cs="Times New Roman"/>
        </w:rPr>
        <w:t>models in healthcare will include: partnership formation between financial services companies and healthcare organizations, adaptation/localization tools from one country to another</w:t>
      </w:r>
      <w:r>
        <w:rPr>
          <w:rFonts w:eastAsia="Times New Roman" w:cs="Times New Roman"/>
        </w:rPr>
        <w:t xml:space="preserve"> or between locales in-country</w:t>
      </w:r>
      <w:r w:rsidR="00D932C0" w:rsidRPr="00D932C0">
        <w:rPr>
          <w:rFonts w:eastAsia="Times New Roman" w:cs="Times New Roman"/>
        </w:rPr>
        <w:t xml:space="preserve">, suggested metrics or monitoring &amp; evaluation frameworks. </w:t>
      </w:r>
    </w:p>
    <w:p w14:paraId="3ABDFA89" w14:textId="60264D7B" w:rsidR="00045139" w:rsidRDefault="00045139" w:rsidP="007A7A9D">
      <w:pPr>
        <w:rPr>
          <w:b/>
        </w:rPr>
      </w:pPr>
      <w:r>
        <w:rPr>
          <w:b/>
        </w:rPr>
        <w:t>ACTIVITIES</w:t>
      </w:r>
    </w:p>
    <w:p w14:paraId="25413F60" w14:textId="0B6EBFAE" w:rsidR="00045139" w:rsidRDefault="002B6EFE" w:rsidP="007A7A9D">
      <w:r>
        <w:t xml:space="preserve">Conduct desktop literature research and </w:t>
      </w:r>
      <w:r w:rsidR="005910D0">
        <w:t xml:space="preserve">online review, plus initial interviews with key informants or key opinion leaders in the identified markets, to map existing models of digital financial services in healthcare. </w:t>
      </w:r>
    </w:p>
    <w:p w14:paraId="17ED6303" w14:textId="5995744E" w:rsidR="005910D0" w:rsidRDefault="00585450" w:rsidP="005910D0">
      <w:pPr>
        <w:pStyle w:val="ListParagraph"/>
        <w:numPr>
          <w:ilvl w:val="0"/>
          <w:numId w:val="4"/>
        </w:numPr>
      </w:pPr>
      <w:r>
        <w:t xml:space="preserve">Confirm the chosen </w:t>
      </w:r>
      <w:r w:rsidR="005910D0">
        <w:t>study markets, in collaboration with USAID and consortium partners</w:t>
      </w:r>
    </w:p>
    <w:p w14:paraId="3C3ED5C2" w14:textId="18FCE7A4" w:rsidR="005910D0" w:rsidRDefault="005910D0" w:rsidP="005910D0">
      <w:pPr>
        <w:pStyle w:val="ListParagraph"/>
        <w:numPr>
          <w:ilvl w:val="0"/>
          <w:numId w:val="4"/>
        </w:numPr>
      </w:pPr>
      <w:r>
        <w:t>Identify the most salient models to study in-depth</w:t>
      </w:r>
    </w:p>
    <w:p w14:paraId="400621BB" w14:textId="7CB39E26" w:rsidR="00FF762D" w:rsidRDefault="00FF762D" w:rsidP="005910D0">
      <w:r>
        <w:t>Review and align existing metrics for financial inclusion and financial health, including the World Economic Forum’s 2018 report “</w:t>
      </w:r>
      <w:r>
        <w:rPr>
          <w:i/>
        </w:rPr>
        <w:t xml:space="preserve">Advancing Financial Inclusion Metrics: Shifting from access to </w:t>
      </w:r>
      <w:r>
        <w:rPr>
          <w:i/>
        </w:rPr>
        <w:lastRenderedPageBreak/>
        <w:t>economic empowerment”</w:t>
      </w:r>
      <w:r>
        <w:t xml:space="preserve">, with healthcare metrics that include consumer outcomes and health systems productivity. </w:t>
      </w:r>
    </w:p>
    <w:p w14:paraId="7EC4E1A9" w14:textId="731FFB33" w:rsidR="002B6EFE" w:rsidRDefault="002B6EFE" w:rsidP="00FF762D">
      <w:pPr>
        <w:pStyle w:val="ListParagraph"/>
        <w:numPr>
          <w:ilvl w:val="0"/>
          <w:numId w:val="5"/>
        </w:numPr>
      </w:pPr>
      <w:r>
        <w:t>C</w:t>
      </w:r>
      <w:r w:rsidR="00FF762D">
        <w:t>o-c</w:t>
      </w:r>
      <w:r>
        <w:t>reate an evaluation framework</w:t>
      </w:r>
      <w:r w:rsidR="00FF762D">
        <w:t xml:space="preserve"> with a focus on </w:t>
      </w:r>
      <w:r>
        <w:t>financial health</w:t>
      </w:r>
      <w:r w:rsidR="00FF762D">
        <w:t xml:space="preserve"> and health outcomes</w:t>
      </w:r>
      <w:r>
        <w:t xml:space="preserve">, </w:t>
      </w:r>
      <w:r w:rsidR="00FF762D">
        <w:t xml:space="preserve">to give </w:t>
      </w:r>
      <w:r>
        <w:t xml:space="preserve">a more complete picture of the effects of trusted, inclusive financial services, especially in the face of costly healthcare diagnosis and treatments and the related financial </w:t>
      </w:r>
      <w:r w:rsidR="00FF762D">
        <w:t xml:space="preserve">shocks. </w:t>
      </w:r>
    </w:p>
    <w:p w14:paraId="394F2EFC" w14:textId="4ECF8AB2" w:rsidR="005910D0" w:rsidRDefault="0052436F" w:rsidP="005910D0">
      <w:r>
        <w:t xml:space="preserve">Based on the final evaluation framework, we will co-design research tools to evaluate the impact of digital financial services on financial protection, healthcare </w:t>
      </w:r>
      <w:r w:rsidR="006F0CB0">
        <w:t>usage</w:t>
      </w:r>
      <w:r>
        <w:t xml:space="preserve">, and health systems functioning. Anticipated data sources: </w:t>
      </w:r>
      <w:r w:rsidR="005910D0">
        <w:t xml:space="preserve">Using surveys and semi-structured interviews, </w:t>
      </w:r>
      <w:r w:rsidR="002B6EFE">
        <w:t xml:space="preserve">ACCESS Health and MSC will </w:t>
      </w:r>
      <w:r w:rsidR="005910D0">
        <w:t xml:space="preserve">conduct interviews with leadership, middle management, and frontline </w:t>
      </w:r>
      <w:r w:rsidR="002B6EFE">
        <w:t xml:space="preserve">health </w:t>
      </w:r>
      <w:r w:rsidR="005910D0">
        <w:t>workers; with implementing partners, regulators, and patient advocacy groups; and with pati</w:t>
      </w:r>
      <w:r w:rsidR="002B6EFE">
        <w:t>ents and</w:t>
      </w:r>
      <w:r w:rsidR="005910D0">
        <w:t xml:space="preserve"> agents, and administrators.</w:t>
      </w:r>
      <w:r w:rsidR="002B6EFE">
        <w:t xml:space="preserve"> The information gleaned from interviews and surveys will be combined with financial services p</w:t>
      </w:r>
      <w:r>
        <w:t>lat</w:t>
      </w:r>
      <w:r w:rsidR="0037523B">
        <w:t>form and health systems data, when available.</w:t>
      </w:r>
    </w:p>
    <w:p w14:paraId="13031E91" w14:textId="2085621C" w:rsidR="00FF762D" w:rsidRDefault="00FF762D" w:rsidP="00FF762D">
      <w:pPr>
        <w:pStyle w:val="ListParagraph"/>
        <w:numPr>
          <w:ilvl w:val="0"/>
          <w:numId w:val="5"/>
        </w:numPr>
      </w:pPr>
      <w:r>
        <w:t xml:space="preserve">Draft country case studies that describe process and impact of digital financial services on patients and healthcare systems. </w:t>
      </w:r>
    </w:p>
    <w:p w14:paraId="5D6EFBE7" w14:textId="2E218772" w:rsidR="00E32F80" w:rsidRDefault="00FF762D" w:rsidP="007A7A9D">
      <w:r>
        <w:t>Analyze research data</w:t>
      </w:r>
      <w:r w:rsidR="0052436F">
        <w:t xml:space="preserve"> to determine </w:t>
      </w:r>
      <w:r w:rsidR="00E32F80">
        <w:t xml:space="preserve">common </w:t>
      </w:r>
      <w:r w:rsidR="0052436F">
        <w:t xml:space="preserve">key factors </w:t>
      </w:r>
      <w:r w:rsidR="00E32F80">
        <w:t xml:space="preserve">across countries </w:t>
      </w:r>
      <w:r w:rsidR="0052436F">
        <w:t xml:space="preserve">for impact of digital financial services, including weighting of factors that seemed to have an outsized effect or enabling factors on performance of the </w:t>
      </w:r>
      <w:r w:rsidR="00E32F80">
        <w:t xml:space="preserve">model, along with insights and recommendations for adoption and/or adaptation in other health systems. </w:t>
      </w:r>
      <w:r w:rsidR="004403F1">
        <w:t xml:space="preserve"> </w:t>
      </w:r>
    </w:p>
    <w:p w14:paraId="5B4C892B" w14:textId="19E93DBC" w:rsidR="0052436F" w:rsidRDefault="00E32F80" w:rsidP="00E32F80">
      <w:pPr>
        <w:pStyle w:val="ListParagraph"/>
        <w:numPr>
          <w:ilvl w:val="0"/>
          <w:numId w:val="5"/>
        </w:numPr>
      </w:pPr>
      <w:r>
        <w:t xml:space="preserve">Develop </w:t>
      </w:r>
      <w:r w:rsidR="004403F1">
        <w:t>a readiness and “model-fit”</w:t>
      </w:r>
      <w:r w:rsidR="007C53C6">
        <w:t xml:space="preserve"> tool to help health systems determine the most appropriate digital financial services and tools for a given population, its health financing needs, and existing infrastructure, capabilities, and regulations.</w:t>
      </w:r>
      <w:r w:rsidR="0052436F">
        <w:t xml:space="preserve"> </w:t>
      </w:r>
      <w:r w:rsidR="004403F1">
        <w:t>The F</w:t>
      </w:r>
      <w:r w:rsidR="0052436F">
        <w:t>intech for Health advisory committee a</w:t>
      </w:r>
      <w:r w:rsidR="004403F1">
        <w:t xml:space="preserve">nd USAID, along with consortium partners, will review and validate </w:t>
      </w:r>
      <w:r w:rsidR="007C53C6">
        <w:t xml:space="preserve">the analysis and the resulting toolkit. </w:t>
      </w:r>
    </w:p>
    <w:p w14:paraId="43E0A248" w14:textId="3D537DA5" w:rsidR="004403F1" w:rsidRPr="0022274E" w:rsidRDefault="00E32F80" w:rsidP="004403F1">
      <w:pPr>
        <w:rPr>
          <w:rFonts w:eastAsia="Times New Roman" w:cs="Times New Roman"/>
          <w:b/>
        </w:rPr>
      </w:pPr>
      <w:r>
        <w:rPr>
          <w:rFonts w:eastAsia="Times New Roman" w:cs="Times New Roman"/>
          <w:b/>
        </w:rPr>
        <w:t xml:space="preserve">FINAL </w:t>
      </w:r>
      <w:r w:rsidR="004403F1">
        <w:rPr>
          <w:rFonts w:eastAsia="Times New Roman" w:cs="Times New Roman"/>
          <w:b/>
        </w:rPr>
        <w:t>DELIVERABLES</w:t>
      </w:r>
    </w:p>
    <w:p w14:paraId="1BBE7981" w14:textId="77777777" w:rsidR="004403F1" w:rsidRDefault="004403F1" w:rsidP="004403F1">
      <w:pPr>
        <w:pStyle w:val="ListParagraph"/>
        <w:numPr>
          <w:ilvl w:val="0"/>
          <w:numId w:val="3"/>
        </w:numPr>
        <w:rPr>
          <w:rFonts w:eastAsia="Times New Roman" w:cs="Times New Roman"/>
        </w:rPr>
      </w:pPr>
      <w:r w:rsidRPr="00796B50">
        <w:rPr>
          <w:rFonts w:eastAsia="Times New Roman" w:cs="Times New Roman"/>
        </w:rPr>
        <w:t xml:space="preserve">Publication of an extended landscape study, inclusive of country case studies, with key findings, the recommendations listed, and an enhanced framework for mapping </w:t>
      </w:r>
      <w:r w:rsidRPr="00796B50">
        <w:rPr>
          <w:rFonts w:cs="Times New Roman"/>
        </w:rPr>
        <w:t xml:space="preserve">digital financial services </w:t>
      </w:r>
      <w:r w:rsidRPr="00796B50">
        <w:rPr>
          <w:rFonts w:eastAsia="Times New Roman" w:cs="Times New Roman"/>
        </w:rPr>
        <w:t>in healthcare;</w:t>
      </w:r>
    </w:p>
    <w:p w14:paraId="7547F911" w14:textId="187FBEB0" w:rsidR="004403F1" w:rsidRPr="00796B50" w:rsidRDefault="004403F1" w:rsidP="004403F1">
      <w:pPr>
        <w:pStyle w:val="ListParagraph"/>
        <w:numPr>
          <w:ilvl w:val="0"/>
          <w:numId w:val="3"/>
        </w:numPr>
        <w:rPr>
          <w:rFonts w:eastAsia="Times New Roman" w:cs="Times New Roman"/>
        </w:rPr>
      </w:pPr>
      <w:r>
        <w:rPr>
          <w:rFonts w:eastAsia="Times New Roman" w:cs="Times New Roman"/>
        </w:rPr>
        <w:t>An impact evaluation framework for digital financial services in healthcare.</w:t>
      </w:r>
    </w:p>
    <w:p w14:paraId="40B8C689" w14:textId="7B07AB99" w:rsidR="0052436F" w:rsidRPr="007C53C6" w:rsidRDefault="004403F1" w:rsidP="007A7A9D">
      <w:pPr>
        <w:pStyle w:val="ListParagraph"/>
        <w:numPr>
          <w:ilvl w:val="0"/>
          <w:numId w:val="3"/>
        </w:numPr>
        <w:rPr>
          <w:rFonts w:eastAsia="Times New Roman" w:cs="Times New Roman"/>
        </w:rPr>
      </w:pPr>
      <w:r w:rsidRPr="00796B50">
        <w:rPr>
          <w:rFonts w:eastAsia="Times New Roman" w:cs="Times New Roman"/>
        </w:rPr>
        <w:t>A</w:t>
      </w:r>
      <w:r w:rsidRPr="00796B50">
        <w:rPr>
          <w:rFonts w:eastAsia="Times New Roman" w:cs="Times New Roman"/>
          <w:color w:val="222222"/>
          <w:shd w:val="clear" w:color="auto" w:fill="FFFFFF"/>
        </w:rPr>
        <w:t xml:space="preserve">n analytics tool to help project leads decide on the most appropriate digital financial services model for a given healthcare market, target population, </w:t>
      </w:r>
      <w:r w:rsidR="007D2314">
        <w:rPr>
          <w:rFonts w:eastAsia="Times New Roman" w:cs="Times New Roman"/>
          <w:color w:val="222222"/>
          <w:shd w:val="clear" w:color="auto" w:fill="FFFFFF"/>
        </w:rPr>
        <w:t xml:space="preserve">financing challenges, </w:t>
      </w:r>
      <w:r w:rsidRPr="00796B50">
        <w:rPr>
          <w:rFonts w:eastAsia="Times New Roman" w:cs="Times New Roman"/>
          <w:color w:val="222222"/>
          <w:shd w:val="clear" w:color="auto" w:fill="FFFFFF"/>
        </w:rPr>
        <w:t xml:space="preserve">regulatory environment, or given partners’ capabilities </w:t>
      </w:r>
    </w:p>
    <w:p w14:paraId="31757D83" w14:textId="77777777" w:rsidR="00585450" w:rsidRDefault="00585450" w:rsidP="007A7A9D">
      <w:pPr>
        <w:rPr>
          <w:b/>
        </w:rPr>
      </w:pPr>
    </w:p>
    <w:p w14:paraId="035CD6E0" w14:textId="77777777" w:rsidR="00585450" w:rsidRDefault="00585450" w:rsidP="007A7A9D">
      <w:pPr>
        <w:rPr>
          <w:b/>
        </w:rPr>
      </w:pPr>
    </w:p>
    <w:p w14:paraId="1BABF00C" w14:textId="77777777" w:rsidR="00585450" w:rsidRDefault="00585450" w:rsidP="007A7A9D">
      <w:pPr>
        <w:rPr>
          <w:b/>
        </w:rPr>
      </w:pPr>
    </w:p>
    <w:p w14:paraId="2E24B754" w14:textId="77777777" w:rsidR="00585450" w:rsidRDefault="00585450" w:rsidP="007A7A9D">
      <w:pPr>
        <w:rPr>
          <w:b/>
        </w:rPr>
      </w:pPr>
    </w:p>
    <w:p w14:paraId="5199E97B" w14:textId="77777777" w:rsidR="00585450" w:rsidRDefault="00585450" w:rsidP="007A7A9D">
      <w:pPr>
        <w:rPr>
          <w:b/>
        </w:rPr>
      </w:pPr>
    </w:p>
    <w:p w14:paraId="189EF6F7" w14:textId="77777777" w:rsidR="00585450" w:rsidRDefault="00585450" w:rsidP="007A7A9D">
      <w:pPr>
        <w:rPr>
          <w:b/>
        </w:rPr>
      </w:pPr>
    </w:p>
    <w:p w14:paraId="25752F0F" w14:textId="77777777" w:rsidR="00585450" w:rsidRDefault="00585450" w:rsidP="007A7A9D">
      <w:pPr>
        <w:rPr>
          <w:b/>
        </w:rPr>
      </w:pPr>
    </w:p>
    <w:p w14:paraId="1B9B1750" w14:textId="77777777" w:rsidR="00585450" w:rsidRDefault="00585450" w:rsidP="007A7A9D">
      <w:pPr>
        <w:rPr>
          <w:b/>
        </w:rPr>
      </w:pPr>
    </w:p>
    <w:p w14:paraId="27DA08C5" w14:textId="77777777" w:rsidR="00585450" w:rsidRDefault="00585450" w:rsidP="007A7A9D">
      <w:pPr>
        <w:rPr>
          <w:b/>
        </w:rPr>
      </w:pPr>
    </w:p>
    <w:p w14:paraId="6A6C7354" w14:textId="11D327E9" w:rsidR="00DD275D" w:rsidRPr="00A52DEC" w:rsidRDefault="00DD275D" w:rsidP="007A7A9D">
      <w:pPr>
        <w:rPr>
          <w:b/>
        </w:rPr>
      </w:pPr>
      <w:r w:rsidRPr="00A52DEC">
        <w:rPr>
          <w:b/>
        </w:rPr>
        <w:t xml:space="preserve">TIMELINE </w:t>
      </w:r>
    </w:p>
    <w:tbl>
      <w:tblPr>
        <w:tblStyle w:val="PlainTable3"/>
        <w:tblW w:w="0" w:type="auto"/>
        <w:tblLook w:val="04A0" w:firstRow="1" w:lastRow="0" w:firstColumn="1" w:lastColumn="0" w:noHBand="0" w:noVBand="1"/>
      </w:tblPr>
      <w:tblGrid>
        <w:gridCol w:w="3517"/>
        <w:gridCol w:w="1028"/>
        <w:gridCol w:w="1024"/>
        <w:gridCol w:w="620"/>
        <w:gridCol w:w="579"/>
        <w:gridCol w:w="593"/>
        <w:gridCol w:w="580"/>
        <w:gridCol w:w="565"/>
        <w:gridCol w:w="584"/>
      </w:tblGrid>
      <w:tr w:rsidR="00500A84" w14:paraId="2382EDDA" w14:textId="77777777" w:rsidTr="00D40682">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3557" w:type="dxa"/>
            <w:vMerge w:val="restart"/>
          </w:tcPr>
          <w:p w14:paraId="187E6BBC" w14:textId="47A12297" w:rsidR="00500A84" w:rsidRDefault="00500A84" w:rsidP="00E54388">
            <w:pPr>
              <w:jc w:val="center"/>
            </w:pPr>
          </w:p>
        </w:tc>
        <w:tc>
          <w:tcPr>
            <w:tcW w:w="936" w:type="dxa"/>
          </w:tcPr>
          <w:p w14:paraId="3B725095" w14:textId="77777777" w:rsidR="00500A84" w:rsidRDefault="00500A84" w:rsidP="00E54388">
            <w:pPr>
              <w:jc w:val="center"/>
              <w:cnfStyle w:val="100000000000" w:firstRow="1" w:lastRow="0" w:firstColumn="0" w:lastColumn="0" w:oddVBand="0" w:evenVBand="0" w:oddHBand="0" w:evenHBand="0" w:firstRowFirstColumn="0" w:firstRowLastColumn="0" w:lastRowFirstColumn="0" w:lastRowLastColumn="0"/>
            </w:pPr>
          </w:p>
        </w:tc>
        <w:tc>
          <w:tcPr>
            <w:tcW w:w="1035" w:type="dxa"/>
          </w:tcPr>
          <w:p w14:paraId="25C1EBAA" w14:textId="518020AC" w:rsidR="00500A84" w:rsidRDefault="00500A84" w:rsidP="00E54388">
            <w:pPr>
              <w:jc w:val="center"/>
              <w:cnfStyle w:val="100000000000" w:firstRow="1" w:lastRow="0" w:firstColumn="0" w:lastColumn="0" w:oddVBand="0" w:evenVBand="0" w:oddHBand="0" w:evenHBand="0" w:firstRowFirstColumn="0" w:firstRowLastColumn="0" w:lastRowFirstColumn="0" w:lastRowLastColumn="0"/>
            </w:pPr>
          </w:p>
        </w:tc>
        <w:tc>
          <w:tcPr>
            <w:tcW w:w="3562" w:type="dxa"/>
            <w:gridSpan w:val="6"/>
          </w:tcPr>
          <w:p w14:paraId="05EE56C1" w14:textId="10DDBDAA" w:rsidR="00500A84" w:rsidRDefault="00500A84" w:rsidP="00E54388">
            <w:pPr>
              <w:jc w:val="center"/>
              <w:cnfStyle w:val="100000000000" w:firstRow="1" w:lastRow="0" w:firstColumn="0" w:lastColumn="0" w:oddVBand="0" w:evenVBand="0" w:oddHBand="0" w:evenHBand="0" w:firstRowFirstColumn="0" w:firstRowLastColumn="0" w:lastRowFirstColumn="0" w:lastRowLastColumn="0"/>
            </w:pPr>
            <w:r>
              <w:t>Months</w:t>
            </w:r>
          </w:p>
        </w:tc>
      </w:tr>
      <w:tr w:rsidR="00500A84" w14:paraId="3859D855" w14:textId="77777777" w:rsidTr="00D4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vMerge/>
          </w:tcPr>
          <w:p w14:paraId="70EB7F76" w14:textId="77777777" w:rsidR="00500A84" w:rsidRDefault="00500A84" w:rsidP="007A7A9D"/>
        </w:tc>
        <w:tc>
          <w:tcPr>
            <w:tcW w:w="936" w:type="dxa"/>
            <w:tcBorders>
              <w:top w:val="single" w:sz="4" w:space="0" w:color="7F7F7F" w:themeColor="text1" w:themeTint="80"/>
              <w:right w:val="single" w:sz="18" w:space="0" w:color="auto"/>
            </w:tcBorders>
          </w:tcPr>
          <w:p w14:paraId="72A31750" w14:textId="5AC92414" w:rsidR="00500A84" w:rsidRDefault="00D40682" w:rsidP="00E54388">
            <w:pPr>
              <w:jc w:val="center"/>
              <w:cnfStyle w:val="000000100000" w:firstRow="0" w:lastRow="0" w:firstColumn="0" w:lastColumn="0" w:oddVBand="0" w:evenVBand="0" w:oddHBand="1" w:evenHBand="0" w:firstRowFirstColumn="0" w:firstRowLastColumn="0" w:lastRowFirstColumn="0" w:lastRowLastColumn="0"/>
            </w:pPr>
            <w:r>
              <w:t>Entity</w:t>
            </w:r>
          </w:p>
        </w:tc>
        <w:tc>
          <w:tcPr>
            <w:tcW w:w="1035" w:type="dxa"/>
            <w:tcBorders>
              <w:top w:val="single" w:sz="4" w:space="0" w:color="7F7F7F" w:themeColor="text1" w:themeTint="80"/>
              <w:left w:val="single" w:sz="18" w:space="0" w:color="auto"/>
              <w:right w:val="single" w:sz="4" w:space="0" w:color="auto"/>
            </w:tcBorders>
          </w:tcPr>
          <w:p w14:paraId="4B9E5AB6" w14:textId="2B8A45C3"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Pre-work</w:t>
            </w:r>
          </w:p>
        </w:tc>
        <w:tc>
          <w:tcPr>
            <w:tcW w:w="624" w:type="dxa"/>
            <w:tcBorders>
              <w:left w:val="single" w:sz="4" w:space="0" w:color="auto"/>
            </w:tcBorders>
          </w:tcPr>
          <w:p w14:paraId="1585C5B6" w14:textId="0ABB52B5" w:rsidR="00500A84" w:rsidRDefault="00500A84" w:rsidP="00E54388">
            <w:pPr>
              <w:tabs>
                <w:tab w:val="center" w:pos="222"/>
              </w:tabs>
              <w:cnfStyle w:val="000000100000" w:firstRow="0" w:lastRow="0" w:firstColumn="0" w:lastColumn="0" w:oddVBand="0" w:evenVBand="0" w:oddHBand="1" w:evenHBand="0" w:firstRowFirstColumn="0" w:firstRowLastColumn="0" w:lastRowFirstColumn="0" w:lastRowLastColumn="0"/>
            </w:pPr>
            <w:r>
              <w:tab/>
              <w:t>1</w:t>
            </w:r>
          </w:p>
        </w:tc>
        <w:tc>
          <w:tcPr>
            <w:tcW w:w="586" w:type="dxa"/>
          </w:tcPr>
          <w:p w14:paraId="47FE83B3" w14:textId="57D54221"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2</w:t>
            </w:r>
          </w:p>
        </w:tc>
        <w:tc>
          <w:tcPr>
            <w:tcW w:w="601" w:type="dxa"/>
          </w:tcPr>
          <w:p w14:paraId="0A0F46CB" w14:textId="2B56DAE2"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3</w:t>
            </w:r>
          </w:p>
        </w:tc>
        <w:tc>
          <w:tcPr>
            <w:tcW w:w="587" w:type="dxa"/>
          </w:tcPr>
          <w:p w14:paraId="071B8848" w14:textId="3E17E359"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4</w:t>
            </w:r>
          </w:p>
        </w:tc>
        <w:tc>
          <w:tcPr>
            <w:tcW w:w="572" w:type="dxa"/>
          </w:tcPr>
          <w:p w14:paraId="4647DDEA" w14:textId="35799F9B"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5</w:t>
            </w:r>
          </w:p>
        </w:tc>
        <w:tc>
          <w:tcPr>
            <w:tcW w:w="592" w:type="dxa"/>
          </w:tcPr>
          <w:p w14:paraId="4E1936D8" w14:textId="15ECC1B9" w:rsidR="00500A84" w:rsidRDefault="00500A84" w:rsidP="00E54388">
            <w:pPr>
              <w:jc w:val="center"/>
              <w:cnfStyle w:val="000000100000" w:firstRow="0" w:lastRow="0" w:firstColumn="0" w:lastColumn="0" w:oddVBand="0" w:evenVBand="0" w:oddHBand="1" w:evenHBand="0" w:firstRowFirstColumn="0" w:firstRowLastColumn="0" w:lastRowFirstColumn="0" w:lastRowLastColumn="0"/>
            </w:pPr>
            <w:r>
              <w:t>6</w:t>
            </w:r>
          </w:p>
        </w:tc>
      </w:tr>
      <w:tr w:rsidR="00500A84" w14:paraId="56414804" w14:textId="77777777" w:rsidTr="00D40682">
        <w:tc>
          <w:tcPr>
            <w:cnfStyle w:val="001000000000" w:firstRow="0" w:lastRow="0" w:firstColumn="1" w:lastColumn="0" w:oddVBand="0" w:evenVBand="0" w:oddHBand="0" w:evenHBand="0" w:firstRowFirstColumn="0" w:firstRowLastColumn="0" w:lastRowFirstColumn="0" w:lastRowLastColumn="0"/>
            <w:tcW w:w="3557" w:type="dxa"/>
          </w:tcPr>
          <w:p w14:paraId="69CD02E1" w14:textId="49DB6254" w:rsidR="00500A84" w:rsidRPr="00E54388" w:rsidRDefault="00500A84" w:rsidP="007A7A9D">
            <w:pPr>
              <w:rPr>
                <w:b w:val="0"/>
              </w:rPr>
            </w:pPr>
            <w:r>
              <w:rPr>
                <w:b w:val="0"/>
              </w:rPr>
              <w:t>landscape study (asia)</w:t>
            </w:r>
          </w:p>
        </w:tc>
        <w:tc>
          <w:tcPr>
            <w:tcW w:w="936" w:type="dxa"/>
            <w:tcBorders>
              <w:right w:val="single" w:sz="18" w:space="0" w:color="auto"/>
            </w:tcBorders>
            <w:shd w:val="clear" w:color="auto" w:fill="auto"/>
          </w:tcPr>
          <w:p w14:paraId="3AB2C69B" w14:textId="7179EF46" w:rsidR="00500A84" w:rsidRDefault="00D40682" w:rsidP="00D40682">
            <w:pPr>
              <w:jc w:val="center"/>
              <w:cnfStyle w:val="000000000000" w:firstRow="0" w:lastRow="0" w:firstColumn="0" w:lastColumn="0" w:oddVBand="0" w:evenVBand="0" w:oddHBand="0" w:evenHBand="0" w:firstRowFirstColumn="0" w:firstRowLastColumn="0" w:lastRowFirstColumn="0" w:lastRowLastColumn="0"/>
            </w:pPr>
            <w:r>
              <w:t>AHI</w:t>
            </w:r>
          </w:p>
        </w:tc>
        <w:tc>
          <w:tcPr>
            <w:tcW w:w="1035" w:type="dxa"/>
            <w:tcBorders>
              <w:left w:val="single" w:sz="18" w:space="0" w:color="auto"/>
              <w:right w:val="single" w:sz="4" w:space="0" w:color="auto"/>
            </w:tcBorders>
            <w:shd w:val="clear" w:color="auto" w:fill="70AD47" w:themeFill="accent6"/>
          </w:tcPr>
          <w:p w14:paraId="5DF6F537" w14:textId="75C25138"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24" w:type="dxa"/>
            <w:tcBorders>
              <w:left w:val="single" w:sz="4" w:space="0" w:color="auto"/>
            </w:tcBorders>
          </w:tcPr>
          <w:p w14:paraId="78F44EF2" w14:textId="150AE4C4"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6" w:type="dxa"/>
          </w:tcPr>
          <w:p w14:paraId="4F85989E"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01" w:type="dxa"/>
          </w:tcPr>
          <w:p w14:paraId="533CC53B"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7" w:type="dxa"/>
          </w:tcPr>
          <w:p w14:paraId="5D674E7C"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72" w:type="dxa"/>
          </w:tcPr>
          <w:p w14:paraId="5F3AD405"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92" w:type="dxa"/>
          </w:tcPr>
          <w:p w14:paraId="6EE4B003"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r>
      <w:tr w:rsidR="00500A84" w14:paraId="19FD6D1C" w14:textId="77777777" w:rsidTr="00D4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2174B512" w14:textId="3B4466AF" w:rsidR="00500A84" w:rsidRPr="00E54388" w:rsidRDefault="00500A84" w:rsidP="007A7A9D">
            <w:pPr>
              <w:rPr>
                <w:b w:val="0"/>
              </w:rPr>
            </w:pPr>
            <w:r>
              <w:rPr>
                <w:b w:val="0"/>
              </w:rPr>
              <w:t>map existing models in chosen countries; confirm countries and salient models</w:t>
            </w:r>
          </w:p>
        </w:tc>
        <w:tc>
          <w:tcPr>
            <w:tcW w:w="936" w:type="dxa"/>
            <w:tcBorders>
              <w:right w:val="single" w:sz="18" w:space="0" w:color="auto"/>
            </w:tcBorders>
          </w:tcPr>
          <w:p w14:paraId="203DEBA2" w14:textId="6DDD52BA" w:rsidR="00500A84" w:rsidRDefault="00D40682" w:rsidP="00D40682">
            <w:pPr>
              <w:jc w:val="center"/>
              <w:cnfStyle w:val="000000100000" w:firstRow="0" w:lastRow="0" w:firstColumn="0" w:lastColumn="0" w:oddVBand="0" w:evenVBand="0" w:oddHBand="1" w:evenHBand="0" w:firstRowFirstColumn="0" w:firstRowLastColumn="0" w:lastRowFirstColumn="0" w:lastRowLastColumn="0"/>
            </w:pPr>
            <w:r>
              <w:t>AHI</w:t>
            </w:r>
          </w:p>
        </w:tc>
        <w:tc>
          <w:tcPr>
            <w:tcW w:w="1035" w:type="dxa"/>
            <w:tcBorders>
              <w:left w:val="single" w:sz="18" w:space="0" w:color="auto"/>
              <w:right w:val="single" w:sz="4" w:space="0" w:color="auto"/>
            </w:tcBorders>
          </w:tcPr>
          <w:p w14:paraId="782C6047" w14:textId="777A0C7C"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24" w:type="dxa"/>
            <w:tcBorders>
              <w:left w:val="single" w:sz="4" w:space="0" w:color="auto"/>
            </w:tcBorders>
            <w:shd w:val="clear" w:color="auto" w:fill="70AD47" w:themeFill="accent6"/>
          </w:tcPr>
          <w:p w14:paraId="1553316F" w14:textId="662A19CB"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6" w:type="dxa"/>
          </w:tcPr>
          <w:p w14:paraId="339C2426"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01" w:type="dxa"/>
          </w:tcPr>
          <w:p w14:paraId="0823A1D2"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7" w:type="dxa"/>
          </w:tcPr>
          <w:p w14:paraId="5A03AADD"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72" w:type="dxa"/>
          </w:tcPr>
          <w:p w14:paraId="59BEB541"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92" w:type="dxa"/>
          </w:tcPr>
          <w:p w14:paraId="043C57B5"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r>
      <w:tr w:rsidR="00500A84" w14:paraId="25806890" w14:textId="77777777" w:rsidTr="00D40682">
        <w:tc>
          <w:tcPr>
            <w:cnfStyle w:val="001000000000" w:firstRow="0" w:lastRow="0" w:firstColumn="1" w:lastColumn="0" w:oddVBand="0" w:evenVBand="0" w:oddHBand="0" w:evenHBand="0" w:firstRowFirstColumn="0" w:firstRowLastColumn="0" w:lastRowFirstColumn="0" w:lastRowLastColumn="0"/>
            <w:tcW w:w="3557" w:type="dxa"/>
          </w:tcPr>
          <w:p w14:paraId="2A4F810C" w14:textId="4A242682" w:rsidR="00500A84" w:rsidRPr="00E54388" w:rsidRDefault="00500A84" w:rsidP="007A7A9D">
            <w:pPr>
              <w:rPr>
                <w:b w:val="0"/>
              </w:rPr>
            </w:pPr>
            <w:r>
              <w:rPr>
                <w:b w:val="0"/>
              </w:rPr>
              <w:t>co-create evaluation framework</w:t>
            </w:r>
          </w:p>
        </w:tc>
        <w:tc>
          <w:tcPr>
            <w:tcW w:w="936" w:type="dxa"/>
            <w:tcBorders>
              <w:right w:val="single" w:sz="18" w:space="0" w:color="auto"/>
            </w:tcBorders>
          </w:tcPr>
          <w:p w14:paraId="51B23253" w14:textId="5EBBA4FA" w:rsidR="00500A84" w:rsidRDefault="00D40682" w:rsidP="00D40682">
            <w:pPr>
              <w:jc w:val="center"/>
              <w:cnfStyle w:val="000000000000" w:firstRow="0" w:lastRow="0" w:firstColumn="0" w:lastColumn="0" w:oddVBand="0" w:evenVBand="0" w:oddHBand="0" w:evenHBand="0" w:firstRowFirstColumn="0" w:firstRowLastColumn="0" w:lastRowFirstColumn="0" w:lastRowLastColumn="0"/>
            </w:pPr>
            <w:r>
              <w:t>AHI/MSC</w:t>
            </w:r>
          </w:p>
        </w:tc>
        <w:tc>
          <w:tcPr>
            <w:tcW w:w="1035" w:type="dxa"/>
            <w:tcBorders>
              <w:left w:val="single" w:sz="18" w:space="0" w:color="auto"/>
              <w:right w:val="single" w:sz="4" w:space="0" w:color="auto"/>
            </w:tcBorders>
          </w:tcPr>
          <w:p w14:paraId="3059DA7D" w14:textId="02855FA0"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24" w:type="dxa"/>
            <w:tcBorders>
              <w:left w:val="single" w:sz="4" w:space="0" w:color="auto"/>
            </w:tcBorders>
            <w:shd w:val="clear" w:color="auto" w:fill="70AD47" w:themeFill="accent6"/>
          </w:tcPr>
          <w:p w14:paraId="471673D7" w14:textId="59767456"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6" w:type="dxa"/>
            <w:shd w:val="clear" w:color="auto" w:fill="70AD47" w:themeFill="accent6"/>
          </w:tcPr>
          <w:p w14:paraId="4366C7B6"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01" w:type="dxa"/>
          </w:tcPr>
          <w:p w14:paraId="59086B54"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7" w:type="dxa"/>
          </w:tcPr>
          <w:p w14:paraId="330A6A08"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72" w:type="dxa"/>
          </w:tcPr>
          <w:p w14:paraId="319279B1"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92" w:type="dxa"/>
          </w:tcPr>
          <w:p w14:paraId="5B534B66"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r>
      <w:tr w:rsidR="00500A84" w14:paraId="124A7174" w14:textId="77777777" w:rsidTr="00D4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4A38345A" w14:textId="03A82BAB" w:rsidR="00500A84" w:rsidRPr="00E54388" w:rsidRDefault="00500A84" w:rsidP="007A7A9D">
            <w:pPr>
              <w:rPr>
                <w:b w:val="0"/>
              </w:rPr>
            </w:pPr>
            <w:r>
              <w:rPr>
                <w:b w:val="0"/>
              </w:rPr>
              <w:t xml:space="preserve">Design and test research tools </w:t>
            </w:r>
          </w:p>
        </w:tc>
        <w:tc>
          <w:tcPr>
            <w:tcW w:w="936" w:type="dxa"/>
            <w:tcBorders>
              <w:right w:val="single" w:sz="18" w:space="0" w:color="auto"/>
            </w:tcBorders>
          </w:tcPr>
          <w:p w14:paraId="35D80247" w14:textId="5FB4EAF4" w:rsidR="00500A84" w:rsidRDefault="00D40682" w:rsidP="00D40682">
            <w:pPr>
              <w:jc w:val="center"/>
              <w:cnfStyle w:val="000000100000" w:firstRow="0" w:lastRow="0" w:firstColumn="0" w:lastColumn="0" w:oddVBand="0" w:evenVBand="0" w:oddHBand="1" w:evenHBand="0" w:firstRowFirstColumn="0" w:firstRowLastColumn="0" w:lastRowFirstColumn="0" w:lastRowLastColumn="0"/>
            </w:pPr>
            <w:r>
              <w:t>AHI/MSC</w:t>
            </w:r>
          </w:p>
        </w:tc>
        <w:tc>
          <w:tcPr>
            <w:tcW w:w="1035" w:type="dxa"/>
            <w:tcBorders>
              <w:left w:val="single" w:sz="18" w:space="0" w:color="auto"/>
              <w:right w:val="single" w:sz="4" w:space="0" w:color="auto"/>
            </w:tcBorders>
          </w:tcPr>
          <w:p w14:paraId="170960FD" w14:textId="3C4172A5"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24" w:type="dxa"/>
            <w:tcBorders>
              <w:left w:val="single" w:sz="4" w:space="0" w:color="auto"/>
            </w:tcBorders>
          </w:tcPr>
          <w:p w14:paraId="693D4AF1" w14:textId="021FBFAF"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6" w:type="dxa"/>
            <w:shd w:val="clear" w:color="auto" w:fill="70AD47" w:themeFill="accent6"/>
          </w:tcPr>
          <w:p w14:paraId="6F70EF1E"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01" w:type="dxa"/>
          </w:tcPr>
          <w:p w14:paraId="5A923D7F"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7" w:type="dxa"/>
          </w:tcPr>
          <w:p w14:paraId="374E04AF"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72" w:type="dxa"/>
          </w:tcPr>
          <w:p w14:paraId="4716755B"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92" w:type="dxa"/>
          </w:tcPr>
          <w:p w14:paraId="43A0FE59"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r>
      <w:tr w:rsidR="00500A84" w14:paraId="2D03A8D6" w14:textId="77777777" w:rsidTr="00D40682">
        <w:tc>
          <w:tcPr>
            <w:cnfStyle w:val="001000000000" w:firstRow="0" w:lastRow="0" w:firstColumn="1" w:lastColumn="0" w:oddVBand="0" w:evenVBand="0" w:oddHBand="0" w:evenHBand="0" w:firstRowFirstColumn="0" w:firstRowLastColumn="0" w:lastRowFirstColumn="0" w:lastRowLastColumn="0"/>
            <w:tcW w:w="3557" w:type="dxa"/>
          </w:tcPr>
          <w:p w14:paraId="4CEF2FCE" w14:textId="4FB8A955" w:rsidR="00500A84" w:rsidRPr="00E54388" w:rsidRDefault="00500A84" w:rsidP="00AF6FA1">
            <w:pPr>
              <w:rPr>
                <w:b w:val="0"/>
              </w:rPr>
            </w:pPr>
            <w:r>
              <w:rPr>
                <w:b w:val="0"/>
              </w:rPr>
              <w:t>data collection</w:t>
            </w:r>
          </w:p>
        </w:tc>
        <w:tc>
          <w:tcPr>
            <w:tcW w:w="936" w:type="dxa"/>
            <w:tcBorders>
              <w:right w:val="single" w:sz="18" w:space="0" w:color="auto"/>
            </w:tcBorders>
          </w:tcPr>
          <w:p w14:paraId="2B804859" w14:textId="3AA66E34" w:rsidR="00500A84" w:rsidRDefault="00D40682" w:rsidP="00D40682">
            <w:pPr>
              <w:jc w:val="center"/>
              <w:cnfStyle w:val="000000000000" w:firstRow="0" w:lastRow="0" w:firstColumn="0" w:lastColumn="0" w:oddVBand="0" w:evenVBand="0" w:oddHBand="0" w:evenHBand="0" w:firstRowFirstColumn="0" w:firstRowLastColumn="0" w:lastRowFirstColumn="0" w:lastRowLastColumn="0"/>
            </w:pPr>
            <w:r>
              <w:t>AHI/MSC</w:t>
            </w:r>
          </w:p>
        </w:tc>
        <w:tc>
          <w:tcPr>
            <w:tcW w:w="1035" w:type="dxa"/>
            <w:tcBorders>
              <w:left w:val="single" w:sz="18" w:space="0" w:color="auto"/>
              <w:right w:val="single" w:sz="4" w:space="0" w:color="auto"/>
            </w:tcBorders>
          </w:tcPr>
          <w:p w14:paraId="211A9260" w14:textId="3ADC2B92"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24" w:type="dxa"/>
            <w:tcBorders>
              <w:left w:val="single" w:sz="4" w:space="0" w:color="auto"/>
            </w:tcBorders>
          </w:tcPr>
          <w:p w14:paraId="0F09C250" w14:textId="5DDA772B"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6" w:type="dxa"/>
          </w:tcPr>
          <w:p w14:paraId="04702DB0"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01" w:type="dxa"/>
            <w:shd w:val="clear" w:color="auto" w:fill="70AD47" w:themeFill="accent6"/>
          </w:tcPr>
          <w:p w14:paraId="5E957C5F"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7" w:type="dxa"/>
          </w:tcPr>
          <w:p w14:paraId="27D134A3"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72" w:type="dxa"/>
          </w:tcPr>
          <w:p w14:paraId="1FDD08D0"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92" w:type="dxa"/>
          </w:tcPr>
          <w:p w14:paraId="7DA7E4DB"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r>
      <w:tr w:rsidR="00500A84" w14:paraId="471B66B4" w14:textId="77777777" w:rsidTr="00D4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038AC6A0" w14:textId="4DCCBE5C" w:rsidR="00500A84" w:rsidRPr="00E54388" w:rsidRDefault="00500A84" w:rsidP="00AF6FA1">
            <w:pPr>
              <w:rPr>
                <w:b w:val="0"/>
              </w:rPr>
            </w:pPr>
            <w:r>
              <w:rPr>
                <w:b w:val="0"/>
              </w:rPr>
              <w:t>data analysis; key findings; recommendations</w:t>
            </w:r>
          </w:p>
        </w:tc>
        <w:tc>
          <w:tcPr>
            <w:tcW w:w="936" w:type="dxa"/>
            <w:tcBorders>
              <w:right w:val="single" w:sz="18" w:space="0" w:color="auto"/>
            </w:tcBorders>
          </w:tcPr>
          <w:p w14:paraId="6778711E" w14:textId="1DDE9962" w:rsidR="00500A84" w:rsidRDefault="00D40682" w:rsidP="00D40682">
            <w:pPr>
              <w:jc w:val="center"/>
              <w:cnfStyle w:val="000000100000" w:firstRow="0" w:lastRow="0" w:firstColumn="0" w:lastColumn="0" w:oddVBand="0" w:evenVBand="0" w:oddHBand="1" w:evenHBand="0" w:firstRowFirstColumn="0" w:firstRowLastColumn="0" w:lastRowFirstColumn="0" w:lastRowLastColumn="0"/>
            </w:pPr>
            <w:r>
              <w:t>AHI/MSC</w:t>
            </w:r>
          </w:p>
        </w:tc>
        <w:tc>
          <w:tcPr>
            <w:tcW w:w="1035" w:type="dxa"/>
            <w:tcBorders>
              <w:left w:val="single" w:sz="18" w:space="0" w:color="auto"/>
              <w:right w:val="single" w:sz="4" w:space="0" w:color="auto"/>
            </w:tcBorders>
          </w:tcPr>
          <w:p w14:paraId="7DF2AD48" w14:textId="73643CAB"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24" w:type="dxa"/>
            <w:tcBorders>
              <w:left w:val="single" w:sz="4" w:space="0" w:color="auto"/>
            </w:tcBorders>
          </w:tcPr>
          <w:p w14:paraId="61EE9618"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6" w:type="dxa"/>
          </w:tcPr>
          <w:p w14:paraId="19010923"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01" w:type="dxa"/>
          </w:tcPr>
          <w:p w14:paraId="57C84533"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7" w:type="dxa"/>
            <w:shd w:val="clear" w:color="auto" w:fill="70AD47" w:themeFill="accent6"/>
          </w:tcPr>
          <w:p w14:paraId="3913AC4A"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72" w:type="dxa"/>
          </w:tcPr>
          <w:p w14:paraId="42C568E7"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92" w:type="dxa"/>
          </w:tcPr>
          <w:p w14:paraId="2A562D7A"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r>
      <w:tr w:rsidR="00500A84" w14:paraId="4F074CAD" w14:textId="77777777" w:rsidTr="00D40682">
        <w:tc>
          <w:tcPr>
            <w:cnfStyle w:val="001000000000" w:firstRow="0" w:lastRow="0" w:firstColumn="1" w:lastColumn="0" w:oddVBand="0" w:evenVBand="0" w:oddHBand="0" w:evenHBand="0" w:firstRowFirstColumn="0" w:firstRowLastColumn="0" w:lastRowFirstColumn="0" w:lastRowLastColumn="0"/>
            <w:tcW w:w="3557" w:type="dxa"/>
          </w:tcPr>
          <w:p w14:paraId="7311182A" w14:textId="42AFB014" w:rsidR="00500A84" w:rsidRPr="00E54388" w:rsidRDefault="00500A84" w:rsidP="007A7A9D">
            <w:pPr>
              <w:rPr>
                <w:b w:val="0"/>
              </w:rPr>
            </w:pPr>
            <w:r>
              <w:rPr>
                <w:b w:val="0"/>
              </w:rPr>
              <w:t>develop readiness and model-fit toolkit</w:t>
            </w:r>
          </w:p>
        </w:tc>
        <w:tc>
          <w:tcPr>
            <w:tcW w:w="936" w:type="dxa"/>
            <w:tcBorders>
              <w:right w:val="single" w:sz="18" w:space="0" w:color="auto"/>
            </w:tcBorders>
          </w:tcPr>
          <w:p w14:paraId="7DE539E9" w14:textId="7FAF0BEE" w:rsidR="00500A84" w:rsidRDefault="00D40682" w:rsidP="00D40682">
            <w:pPr>
              <w:jc w:val="center"/>
              <w:cnfStyle w:val="000000000000" w:firstRow="0" w:lastRow="0" w:firstColumn="0" w:lastColumn="0" w:oddVBand="0" w:evenVBand="0" w:oddHBand="0" w:evenHBand="0" w:firstRowFirstColumn="0" w:firstRowLastColumn="0" w:lastRowFirstColumn="0" w:lastRowLastColumn="0"/>
            </w:pPr>
            <w:r>
              <w:t>AHI/MSC</w:t>
            </w:r>
          </w:p>
        </w:tc>
        <w:tc>
          <w:tcPr>
            <w:tcW w:w="1035" w:type="dxa"/>
            <w:tcBorders>
              <w:left w:val="single" w:sz="18" w:space="0" w:color="auto"/>
              <w:right w:val="single" w:sz="4" w:space="0" w:color="auto"/>
            </w:tcBorders>
          </w:tcPr>
          <w:p w14:paraId="71D8FD63" w14:textId="129875A0"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24" w:type="dxa"/>
            <w:tcBorders>
              <w:left w:val="single" w:sz="4" w:space="0" w:color="auto"/>
            </w:tcBorders>
          </w:tcPr>
          <w:p w14:paraId="2C7DC22A"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6" w:type="dxa"/>
          </w:tcPr>
          <w:p w14:paraId="6F8EA131"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601" w:type="dxa"/>
          </w:tcPr>
          <w:p w14:paraId="4DCAD022"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87" w:type="dxa"/>
          </w:tcPr>
          <w:p w14:paraId="789F8197"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72" w:type="dxa"/>
            <w:shd w:val="clear" w:color="auto" w:fill="70AD47" w:themeFill="accent6"/>
          </w:tcPr>
          <w:p w14:paraId="1A3B6483"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c>
          <w:tcPr>
            <w:tcW w:w="592" w:type="dxa"/>
          </w:tcPr>
          <w:p w14:paraId="738BA35E" w14:textId="77777777" w:rsidR="00500A84" w:rsidRDefault="00500A84" w:rsidP="007A7A9D">
            <w:pPr>
              <w:cnfStyle w:val="000000000000" w:firstRow="0" w:lastRow="0" w:firstColumn="0" w:lastColumn="0" w:oddVBand="0" w:evenVBand="0" w:oddHBand="0" w:evenHBand="0" w:firstRowFirstColumn="0" w:firstRowLastColumn="0" w:lastRowFirstColumn="0" w:lastRowLastColumn="0"/>
            </w:pPr>
          </w:p>
        </w:tc>
      </w:tr>
      <w:tr w:rsidR="00500A84" w14:paraId="42B6DCAA" w14:textId="77777777" w:rsidTr="00D4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68FD04CF" w14:textId="6902D53E" w:rsidR="00500A84" w:rsidRPr="00E54388" w:rsidRDefault="00500A84" w:rsidP="007A7A9D">
            <w:pPr>
              <w:rPr>
                <w:b w:val="0"/>
              </w:rPr>
            </w:pPr>
            <w:r>
              <w:rPr>
                <w:b w:val="0"/>
              </w:rPr>
              <w:t>final report</w:t>
            </w:r>
          </w:p>
        </w:tc>
        <w:tc>
          <w:tcPr>
            <w:tcW w:w="936" w:type="dxa"/>
            <w:tcBorders>
              <w:right w:val="single" w:sz="18" w:space="0" w:color="auto"/>
            </w:tcBorders>
          </w:tcPr>
          <w:p w14:paraId="349C4B5B" w14:textId="7969A6AA" w:rsidR="00500A84" w:rsidRDefault="00D40682" w:rsidP="00D40682">
            <w:pPr>
              <w:jc w:val="center"/>
              <w:cnfStyle w:val="000000100000" w:firstRow="0" w:lastRow="0" w:firstColumn="0" w:lastColumn="0" w:oddVBand="0" w:evenVBand="0" w:oddHBand="1" w:evenHBand="0" w:firstRowFirstColumn="0" w:firstRowLastColumn="0" w:lastRowFirstColumn="0" w:lastRowLastColumn="0"/>
            </w:pPr>
            <w:r>
              <w:t>AHI</w:t>
            </w:r>
          </w:p>
        </w:tc>
        <w:tc>
          <w:tcPr>
            <w:tcW w:w="1035" w:type="dxa"/>
            <w:tcBorders>
              <w:left w:val="single" w:sz="18" w:space="0" w:color="auto"/>
              <w:right w:val="single" w:sz="4" w:space="0" w:color="auto"/>
            </w:tcBorders>
          </w:tcPr>
          <w:p w14:paraId="4DAE6266" w14:textId="5DEBA816"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24" w:type="dxa"/>
            <w:tcBorders>
              <w:left w:val="single" w:sz="4" w:space="0" w:color="auto"/>
            </w:tcBorders>
          </w:tcPr>
          <w:p w14:paraId="3601BDCB"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6" w:type="dxa"/>
          </w:tcPr>
          <w:p w14:paraId="7BDAED4F"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601" w:type="dxa"/>
          </w:tcPr>
          <w:p w14:paraId="18CEE45E"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87" w:type="dxa"/>
          </w:tcPr>
          <w:p w14:paraId="541B9694"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72" w:type="dxa"/>
          </w:tcPr>
          <w:p w14:paraId="416CA0F4"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c>
          <w:tcPr>
            <w:tcW w:w="592" w:type="dxa"/>
            <w:shd w:val="clear" w:color="auto" w:fill="70AD47" w:themeFill="accent6"/>
          </w:tcPr>
          <w:p w14:paraId="7F678DC6" w14:textId="77777777" w:rsidR="00500A84" w:rsidRDefault="00500A84" w:rsidP="007A7A9D">
            <w:pPr>
              <w:cnfStyle w:val="000000100000" w:firstRow="0" w:lastRow="0" w:firstColumn="0" w:lastColumn="0" w:oddVBand="0" w:evenVBand="0" w:oddHBand="1" w:evenHBand="0" w:firstRowFirstColumn="0" w:firstRowLastColumn="0" w:lastRowFirstColumn="0" w:lastRowLastColumn="0"/>
            </w:pPr>
          </w:p>
        </w:tc>
      </w:tr>
    </w:tbl>
    <w:p w14:paraId="1B6EDC39" w14:textId="77777777" w:rsidR="00F415E8" w:rsidRPr="00A52DEC" w:rsidRDefault="00F415E8" w:rsidP="007A7A9D"/>
    <w:p w14:paraId="7AE6CDA4" w14:textId="211129FE" w:rsidR="00DD275D" w:rsidRPr="00A52DEC" w:rsidRDefault="00DD275D" w:rsidP="007A7A9D">
      <w:pPr>
        <w:rPr>
          <w:b/>
        </w:rPr>
      </w:pPr>
      <w:r w:rsidRPr="00A52DEC">
        <w:rPr>
          <w:b/>
        </w:rPr>
        <w:t>BUDGET</w:t>
      </w:r>
    </w:p>
    <w:p w14:paraId="2A84AC0C" w14:textId="62AC2079" w:rsidR="00DD275D" w:rsidRPr="00A52DEC" w:rsidRDefault="004D2446" w:rsidP="007A7A9D">
      <w:r>
        <w:t>The estimated budget is USD $18</w:t>
      </w:r>
      <w:bookmarkStart w:id="0" w:name="_GoBack"/>
      <w:bookmarkEnd w:id="0"/>
      <w:r w:rsidR="005137C3">
        <w:t xml:space="preserve">0,000. </w:t>
      </w:r>
    </w:p>
    <w:p w14:paraId="5E52FC69" w14:textId="73010B03" w:rsidR="00747E7A" w:rsidRPr="00BD1C5C" w:rsidRDefault="00BD1C5C" w:rsidP="00DD275D">
      <w:pPr>
        <w:rPr>
          <w:rFonts w:eastAsia="Calibri" w:cs="Times New Roman"/>
          <w:b/>
          <w:color w:val="000000" w:themeColor="text1"/>
          <w:lang w:val="en-SG" w:eastAsia="en-US"/>
        </w:rPr>
      </w:pPr>
      <w:r>
        <w:rPr>
          <w:rFonts w:eastAsia="Calibri" w:cs="Times New Roman"/>
          <w:b/>
          <w:color w:val="000000" w:themeColor="text1"/>
          <w:lang w:val="en-SG" w:eastAsia="en-US"/>
        </w:rPr>
        <w:t>GRANT SUBAWARDS PARTNERSHIP</w:t>
      </w:r>
    </w:p>
    <w:p w14:paraId="0CCC30DB" w14:textId="437C941F" w:rsidR="00747E7A" w:rsidRPr="00BD1C5C" w:rsidRDefault="00BD1C5C" w:rsidP="00DD275D">
      <w:pPr>
        <w:rPr>
          <w:rFonts w:eastAsia="Calibri" w:cs="Times New Roman"/>
          <w:color w:val="000000" w:themeColor="text1"/>
          <w:lang w:val="en-SG" w:eastAsia="en-US"/>
        </w:rPr>
      </w:pPr>
      <w:r>
        <w:rPr>
          <w:rFonts w:eastAsia="Calibri" w:cs="Times New Roman"/>
          <w:color w:val="000000" w:themeColor="text1"/>
          <w:lang w:val="en-SG" w:eastAsia="en-US"/>
        </w:rPr>
        <w:t>This application</w:t>
      </w:r>
      <w:r w:rsidR="008415E2">
        <w:rPr>
          <w:rFonts w:eastAsia="Calibri" w:cs="Times New Roman"/>
          <w:color w:val="000000" w:themeColor="text1"/>
          <w:lang w:val="en-SG" w:eastAsia="en-US"/>
        </w:rPr>
        <w:t xml:space="preserve"> was written with the notion</w:t>
      </w:r>
      <w:r>
        <w:rPr>
          <w:rFonts w:eastAsia="Calibri" w:cs="Times New Roman"/>
          <w:color w:val="000000" w:themeColor="text1"/>
          <w:lang w:val="en-SG" w:eastAsia="en-US"/>
        </w:rPr>
        <w:t xml:space="preserve"> that, in order to have the most impact globally and </w:t>
      </w:r>
      <w:r w:rsidR="008415E2">
        <w:rPr>
          <w:rFonts w:eastAsia="Calibri" w:cs="Times New Roman"/>
          <w:color w:val="000000" w:themeColor="text1"/>
          <w:lang w:val="en-SG" w:eastAsia="en-US"/>
        </w:rPr>
        <w:t xml:space="preserve">with a thorough </w:t>
      </w:r>
      <w:r>
        <w:rPr>
          <w:rFonts w:eastAsia="Calibri" w:cs="Times New Roman"/>
          <w:color w:val="000000" w:themeColor="text1"/>
          <w:lang w:val="en-SG" w:eastAsia="en-US"/>
        </w:rPr>
        <w:t xml:space="preserve">understanding of local contexts, USAID and Digital Square </w:t>
      </w:r>
      <w:r w:rsidR="008415E2">
        <w:rPr>
          <w:rFonts w:eastAsia="Calibri" w:cs="Times New Roman"/>
          <w:color w:val="000000" w:themeColor="text1"/>
          <w:lang w:val="en-SG" w:eastAsia="en-US"/>
        </w:rPr>
        <w:t xml:space="preserve">may </w:t>
      </w:r>
      <w:r>
        <w:rPr>
          <w:rFonts w:eastAsia="Calibri" w:cs="Times New Roman"/>
          <w:color w:val="000000" w:themeColor="text1"/>
          <w:lang w:val="en-SG" w:eastAsia="en-US"/>
        </w:rPr>
        <w:t xml:space="preserve">issue two </w:t>
      </w:r>
      <w:proofErr w:type="spellStart"/>
      <w:r>
        <w:rPr>
          <w:rFonts w:eastAsia="Calibri" w:cs="Times New Roman"/>
          <w:color w:val="000000" w:themeColor="text1"/>
          <w:lang w:val="en-SG" w:eastAsia="en-US"/>
        </w:rPr>
        <w:t>subawards</w:t>
      </w:r>
      <w:proofErr w:type="spellEnd"/>
      <w:r>
        <w:rPr>
          <w:rFonts w:eastAsia="Calibri" w:cs="Times New Roman"/>
          <w:color w:val="000000" w:themeColor="text1"/>
          <w:lang w:val="en-SG" w:eastAsia="en-US"/>
        </w:rPr>
        <w:t xml:space="preserve"> of complementary and partnering projects. If this is the case, then we would be interested to coordinate with a </w:t>
      </w:r>
      <w:proofErr w:type="spellStart"/>
      <w:r>
        <w:rPr>
          <w:rFonts w:eastAsia="Calibri" w:cs="Times New Roman"/>
          <w:color w:val="000000" w:themeColor="text1"/>
          <w:lang w:val="en-SG" w:eastAsia="en-US"/>
        </w:rPr>
        <w:t>subawardee</w:t>
      </w:r>
      <w:proofErr w:type="spellEnd"/>
      <w:r>
        <w:rPr>
          <w:rFonts w:eastAsia="Calibri" w:cs="Times New Roman"/>
          <w:color w:val="000000" w:themeColor="text1"/>
          <w:lang w:val="en-SG" w:eastAsia="en-US"/>
        </w:rPr>
        <w:t xml:space="preserve"> in Africa, to ensure that case studies across both continents are framed and analysed similarly </w:t>
      </w:r>
      <w:r w:rsidR="008415E2">
        <w:rPr>
          <w:rFonts w:eastAsia="Calibri" w:cs="Times New Roman"/>
          <w:color w:val="000000" w:themeColor="text1"/>
          <w:lang w:val="en-SG" w:eastAsia="en-US"/>
        </w:rPr>
        <w:t xml:space="preserve">(aligned methodology) </w:t>
      </w:r>
      <w:r>
        <w:rPr>
          <w:rFonts w:eastAsia="Calibri" w:cs="Times New Roman"/>
          <w:color w:val="000000" w:themeColor="text1"/>
          <w:lang w:val="en-SG" w:eastAsia="en-US"/>
        </w:rPr>
        <w:t>and that lessons from</w:t>
      </w:r>
      <w:r w:rsidR="008415E2">
        <w:rPr>
          <w:rFonts w:eastAsia="Calibri" w:cs="Times New Roman"/>
          <w:color w:val="000000" w:themeColor="text1"/>
          <w:lang w:val="en-SG" w:eastAsia="en-US"/>
        </w:rPr>
        <w:t xml:space="preserve"> all</w:t>
      </w:r>
      <w:r>
        <w:rPr>
          <w:rFonts w:eastAsia="Calibri" w:cs="Times New Roman"/>
          <w:color w:val="000000" w:themeColor="text1"/>
          <w:lang w:val="en-SG" w:eastAsia="en-US"/>
        </w:rPr>
        <w:t xml:space="preserve"> relevant case studies </w:t>
      </w:r>
      <w:r w:rsidR="008415E2">
        <w:rPr>
          <w:rFonts w:eastAsia="Calibri" w:cs="Times New Roman"/>
          <w:color w:val="000000" w:themeColor="text1"/>
          <w:lang w:val="en-SG" w:eastAsia="en-US"/>
        </w:rPr>
        <w:t xml:space="preserve">funded by USAID/Digital Square inform the resulting analytics tool. </w:t>
      </w:r>
    </w:p>
    <w:p w14:paraId="229B83E8" w14:textId="30AA3551" w:rsidR="00DD275D" w:rsidRDefault="00FA4EB0" w:rsidP="00DD275D">
      <w:pPr>
        <w:rPr>
          <w:rFonts w:eastAsia="Calibri" w:cs="Times New Roman"/>
          <w:b/>
          <w:color w:val="000000" w:themeColor="text1"/>
          <w:lang w:val="en-SG" w:eastAsia="en-US"/>
        </w:rPr>
      </w:pPr>
      <w:r>
        <w:rPr>
          <w:rFonts w:eastAsia="Calibri" w:cs="Times New Roman"/>
          <w:b/>
          <w:color w:val="000000" w:themeColor="text1"/>
          <w:lang w:val="en-SG" w:eastAsia="en-US"/>
        </w:rPr>
        <w:t>CONSORTIUM TEAM</w:t>
      </w:r>
    </w:p>
    <w:p w14:paraId="67CAA157" w14:textId="77777777" w:rsidR="00FA4EB0" w:rsidRPr="00FA4EB0" w:rsidRDefault="00FA4EB0" w:rsidP="00FA4EB0">
      <w:pPr>
        <w:rPr>
          <w:rFonts w:eastAsia="Times New Roman" w:cs="Times New Roman"/>
        </w:rPr>
      </w:pPr>
      <w:r w:rsidRPr="00FA4EB0">
        <w:rPr>
          <w:rFonts w:eastAsia="Times New Roman" w:cs="Times New Roman"/>
          <w:b/>
          <w:bCs/>
        </w:rPr>
        <w:t>Primary Organization</w:t>
      </w:r>
      <w:r w:rsidRPr="00FA4EB0">
        <w:rPr>
          <w:rFonts w:eastAsia="Times New Roman" w:cs="Times New Roman"/>
        </w:rPr>
        <w:t>: ACCESS Health International</w:t>
      </w:r>
    </w:p>
    <w:p w14:paraId="5B849438" w14:textId="0E1817CB" w:rsidR="008415E2" w:rsidRPr="00FA4EB0" w:rsidRDefault="00FA4EB0" w:rsidP="00FA4EB0">
      <w:pPr>
        <w:rPr>
          <w:rFonts w:eastAsia="Times New Roman" w:cs="Times New Roman"/>
        </w:rPr>
      </w:pPr>
      <w:r w:rsidRPr="00FA4EB0">
        <w:rPr>
          <w:rFonts w:eastAsia="Times New Roman" w:cs="Times New Roman"/>
        </w:rPr>
        <w:t xml:space="preserve">ACCESS Health International is a </w:t>
      </w:r>
      <w:proofErr w:type="spellStart"/>
      <w:r w:rsidRPr="00FA4EB0">
        <w:rPr>
          <w:rFonts w:eastAsia="Times New Roman" w:cs="Times New Roman"/>
        </w:rPr>
        <w:t>nonprofit</w:t>
      </w:r>
      <w:proofErr w:type="spellEnd"/>
      <w:r w:rsidRPr="00FA4EB0">
        <w:rPr>
          <w:rFonts w:eastAsia="Times New Roman" w:cs="Times New Roman"/>
        </w:rPr>
        <w:t xml:space="preserve"> think tank and advisory organization with the vision that all people have access to high quality, affordable healthcare, and a right to lead healthy, productive lives. We work toward that vision by conducting practical research, creating knowledge sharing and partnership engagement networks, and supporting project implementation. With offices in the US, China, India, Philippines, and Singapore (Southeast Asia), we work with governments, industry partners, </w:t>
      </w:r>
      <w:proofErr w:type="spellStart"/>
      <w:r w:rsidRPr="00FA4EB0">
        <w:rPr>
          <w:rFonts w:eastAsia="Times New Roman" w:cs="Times New Roman"/>
        </w:rPr>
        <w:t>startups</w:t>
      </w:r>
      <w:proofErr w:type="spellEnd"/>
      <w:r w:rsidRPr="00FA4EB0">
        <w:rPr>
          <w:rFonts w:eastAsia="Times New Roman" w:cs="Times New Roman"/>
        </w:rPr>
        <w:t xml:space="preserve">, and </w:t>
      </w:r>
      <w:proofErr w:type="spellStart"/>
      <w:r w:rsidRPr="00FA4EB0">
        <w:rPr>
          <w:rFonts w:eastAsia="Times New Roman" w:cs="Times New Roman"/>
        </w:rPr>
        <w:t>nonprofits</w:t>
      </w:r>
      <w:proofErr w:type="spellEnd"/>
      <w:r w:rsidRPr="00FA4EB0">
        <w:rPr>
          <w:rFonts w:eastAsia="Times New Roman" w:cs="Times New Roman"/>
        </w:rPr>
        <w:t xml:space="preserve"> to develop knowledge and tools for health systems strengthening, focusing on health financing, digital technology, and service delivery innovation for community-based care. </w:t>
      </w:r>
    </w:p>
    <w:p w14:paraId="045D225C" w14:textId="64C0DAFB" w:rsidR="00FA4EB0" w:rsidRPr="00FA4EB0" w:rsidRDefault="00FA4EB0" w:rsidP="00FA4EB0">
      <w:pPr>
        <w:rPr>
          <w:rFonts w:eastAsia="Times New Roman" w:cs="Times New Roman"/>
        </w:rPr>
      </w:pPr>
      <w:r w:rsidRPr="00FA4EB0">
        <w:rPr>
          <w:rFonts w:eastAsia="Times New Roman" w:cs="Times New Roman"/>
          <w:b/>
          <w:bCs/>
        </w:rPr>
        <w:t>Partner organization</w:t>
      </w:r>
      <w:r w:rsidRPr="00FA4EB0">
        <w:rPr>
          <w:rFonts w:eastAsia="Times New Roman" w:cs="Times New Roman"/>
        </w:rPr>
        <w:t xml:space="preserve">: </w:t>
      </w:r>
      <w:proofErr w:type="spellStart"/>
      <w:r w:rsidRPr="00FA4EB0">
        <w:rPr>
          <w:rFonts w:eastAsia="Times New Roman" w:cs="Times New Roman"/>
        </w:rPr>
        <w:t>MicroSave</w:t>
      </w:r>
      <w:proofErr w:type="spellEnd"/>
      <w:r w:rsidRPr="00FA4EB0">
        <w:rPr>
          <w:rFonts w:eastAsia="Times New Roman" w:cs="Times New Roman"/>
        </w:rPr>
        <w:t xml:space="preserve"> Consulting</w:t>
      </w:r>
    </w:p>
    <w:p w14:paraId="03FBE955" w14:textId="77777777" w:rsidR="00FA4EB0" w:rsidRDefault="00FA4EB0" w:rsidP="00FA4EB0">
      <w:pPr>
        <w:rPr>
          <w:rFonts w:eastAsia="Times New Roman" w:cs="Times New Roman"/>
        </w:rPr>
      </w:pPr>
      <w:r w:rsidRPr="00FA4EB0">
        <w:rPr>
          <w:rFonts w:eastAsia="Times New Roman" w:cs="Times New Roman"/>
        </w:rPr>
        <w:lastRenderedPageBreak/>
        <w:t xml:space="preserve">MSC (formerly known as </w:t>
      </w:r>
      <w:proofErr w:type="spellStart"/>
      <w:r w:rsidRPr="00FA4EB0">
        <w:rPr>
          <w:rFonts w:eastAsia="Times New Roman" w:cs="Times New Roman"/>
        </w:rPr>
        <w:t>MicroSave</w:t>
      </w:r>
      <w:proofErr w:type="spellEnd"/>
      <w:r w:rsidRPr="00FA4EB0">
        <w:rPr>
          <w:rFonts w:eastAsia="Times New Roman" w:cs="Times New Roman"/>
        </w:rPr>
        <w:t xml:space="preserve">) is a leading international development consulting firm that offers practical, market-led solutions focused on enhancing access to financial services to the low and middle-income segments. Our inspiration is to live in a world in which all people have access to high-quality, affordable, market-led financial services and other support they need. We offer consulting services in multiple domains including, Digital Financial Services, Banking, Financial Services and Insurance, Micro, Small and Medium Enterprises Finance and Private Sector Development. Across all the domains, we provide services in Market Assessments, Monitoring and Evaluations, Organizational Strengthening, Strategic Business Planning, and Product strategy for service providers. We have worked with a range of donor agencies, central banks, policymakers and national governments in various countries of Asia and Africa. We understand the financial needs, behavior and money management practices of the mass market and have worked extensively with digital financial services providers including </w:t>
      </w:r>
      <w:proofErr w:type="spellStart"/>
      <w:r w:rsidRPr="00FA4EB0">
        <w:rPr>
          <w:rFonts w:eastAsia="Times New Roman" w:cs="Times New Roman"/>
        </w:rPr>
        <w:t>FinTechs</w:t>
      </w:r>
      <w:proofErr w:type="spellEnd"/>
      <w:r w:rsidRPr="00FA4EB0">
        <w:rPr>
          <w:rFonts w:eastAsia="Times New Roman" w:cs="Times New Roman"/>
        </w:rPr>
        <w:t xml:space="preserve"> to incorporate our market insights in the design of their solutions. We have set up an incubation/solution lab for </w:t>
      </w:r>
      <w:proofErr w:type="spellStart"/>
      <w:r w:rsidRPr="00FA4EB0">
        <w:rPr>
          <w:rFonts w:eastAsia="Times New Roman" w:cs="Times New Roman"/>
        </w:rPr>
        <w:t>FinTechs</w:t>
      </w:r>
      <w:proofErr w:type="spellEnd"/>
      <w:r w:rsidRPr="00FA4EB0">
        <w:rPr>
          <w:rFonts w:eastAsia="Times New Roman" w:cs="Times New Roman"/>
        </w:rPr>
        <w:t xml:space="preserve"> to cater to the mass market in India.</w:t>
      </w:r>
    </w:p>
    <w:p w14:paraId="3BAB3680" w14:textId="3256994D" w:rsidR="00DD275D" w:rsidRPr="00A52DEC" w:rsidRDefault="00DD275D" w:rsidP="007A7A9D"/>
    <w:p w14:paraId="3F43FFC8" w14:textId="77777777" w:rsidR="00DD275D" w:rsidRPr="00A52DEC" w:rsidRDefault="00DD275D" w:rsidP="007A7A9D"/>
    <w:p w14:paraId="68E6CD7B" w14:textId="7965CE8F" w:rsidR="00DD275D" w:rsidRPr="00A52DEC" w:rsidRDefault="00DD275D" w:rsidP="007A7A9D"/>
    <w:p w14:paraId="51B22CD9" w14:textId="77777777" w:rsidR="00DD275D" w:rsidRPr="00A52DEC" w:rsidRDefault="00DD275D" w:rsidP="007A7A9D"/>
    <w:p w14:paraId="2254B12E" w14:textId="261E081B" w:rsidR="00DD275D" w:rsidRPr="00A52DEC" w:rsidRDefault="00DD275D" w:rsidP="007A7A9D"/>
    <w:p w14:paraId="6929B7D7" w14:textId="77777777" w:rsidR="00DD275D" w:rsidRPr="00A52DEC" w:rsidRDefault="00DD275D" w:rsidP="007A7A9D"/>
    <w:p w14:paraId="29A9CA81" w14:textId="77777777" w:rsidR="00DD275D" w:rsidRPr="00A52DEC" w:rsidRDefault="00DD275D" w:rsidP="007A7A9D"/>
    <w:sectPr w:rsidR="00DD275D" w:rsidRPr="00A52DEC" w:rsidSect="00D83DA9">
      <w:headerReference w:type="default" r:id="rId8"/>
      <w:footerReference w:type="default" r:id="rId9"/>
      <w:pgSz w:w="11906" w:h="16838"/>
      <w:pgMar w:top="1917" w:right="1376" w:bottom="1440" w:left="1440" w:header="270" w:footer="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B34D3" w14:textId="77777777" w:rsidR="00E94980" w:rsidRDefault="00E94980" w:rsidP="008D5ABE">
      <w:pPr>
        <w:spacing w:after="0" w:line="240" w:lineRule="auto"/>
      </w:pPr>
      <w:r>
        <w:separator/>
      </w:r>
    </w:p>
  </w:endnote>
  <w:endnote w:type="continuationSeparator" w:id="0">
    <w:p w14:paraId="6FA8CA7E" w14:textId="77777777" w:rsidR="00E94980" w:rsidRDefault="00E94980" w:rsidP="008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IDFont+F2">
    <w:altName w:val="Times New Roman"/>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rPr>
      <w:id w:val="56911305"/>
      <w:docPartObj>
        <w:docPartGallery w:val="Page Numbers (Bottom of Page)"/>
        <w:docPartUnique/>
      </w:docPartObj>
    </w:sdtPr>
    <w:sdtEndPr>
      <w:rPr>
        <w:noProof/>
      </w:rPr>
    </w:sdtEndPr>
    <w:sdtContent>
      <w:p w14:paraId="4A59D9C8" w14:textId="080B7C0C" w:rsidR="003E0BC5" w:rsidRPr="00D5177B" w:rsidRDefault="00D83DA9" w:rsidP="00D83DA9">
        <w:pPr>
          <w:pStyle w:val="Footer"/>
          <w:jc w:val="right"/>
          <w:rPr>
            <w:color w:val="7F7F7F"/>
          </w:rPr>
        </w:pPr>
        <w:r w:rsidRPr="00D5177B">
          <w:rPr>
            <w:noProof/>
            <w:color w:val="7F7F7F"/>
            <w:lang w:val="en-US" w:eastAsia="en-US"/>
          </w:rPr>
          <mc:AlternateContent>
            <mc:Choice Requires="wps">
              <w:drawing>
                <wp:anchor distT="0" distB="0" distL="114300" distR="114300" simplePos="0" relativeHeight="251661312" behindDoc="0" locked="0" layoutInCell="1" allowOverlap="1" wp14:anchorId="4CBD7289" wp14:editId="19A81E98">
                  <wp:simplePos x="0" y="0"/>
                  <wp:positionH relativeFrom="column">
                    <wp:posOffset>5423218</wp:posOffset>
                  </wp:positionH>
                  <wp:positionV relativeFrom="paragraph">
                    <wp:posOffset>-194628</wp:posOffset>
                  </wp:positionV>
                  <wp:extent cx="1281430" cy="45085"/>
                  <wp:effectExtent l="8572" t="0" r="22543" b="22542"/>
                  <wp:wrapNone/>
                  <wp:docPr id="44" name="Rectangle 44"/>
                  <wp:cNvGraphicFramePr/>
                  <a:graphic xmlns:a="http://schemas.openxmlformats.org/drawingml/2006/main">
                    <a:graphicData uri="http://schemas.microsoft.com/office/word/2010/wordprocessingShape">
                      <wps:wsp>
                        <wps:cNvSpPr/>
                        <wps:spPr>
                          <a:xfrm rot="16200000">
                            <a:off x="0" y="0"/>
                            <a:ext cx="1281430" cy="45085"/>
                          </a:xfrm>
                          <a:prstGeom prst="rect">
                            <a:avLst/>
                          </a:prstGeom>
                          <a:solidFill>
                            <a:srgbClr val="5FB255"/>
                          </a:solidFill>
                          <a:ln w="12700" cap="flat" cmpd="sng" algn="ctr">
                            <a:solidFill>
                              <a:srgbClr val="5FB255"/>
                            </a:solidFill>
                            <a:prstDash val="solid"/>
                            <a:miter lim="800000"/>
                          </a:ln>
                          <a:effectLst/>
                        </wps:spPr>
                        <wps:txbx>
                          <w:txbxContent>
                            <w:p w14:paraId="63ECCF5D" w14:textId="77777777" w:rsidR="003E0BC5" w:rsidRDefault="003E0BC5" w:rsidP="00620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BD7289" id="Rectangle 44" o:spid="_x0000_s1027" style="position:absolute;left:0;text-align:left;margin-left:427.05pt;margin-top:-15.35pt;width:100.9pt;height:3.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D/fQIAABMFAAAOAAAAZHJzL2Uyb0RvYy54bWysVEtv2zAMvg/YfxB0Xx1nTpsFdYqsRYYB&#10;xVqsHXpmZMkWoNckJXb360fJTtd2OwzDfBBIkebj40edXwxakQP3QVpT0/JkRgk3zDbStDX9dr99&#10;t6QkRDANKGt4TR95oBfrt2/Oe7fic9tZ1XBPMIgJq97VtIvRrYoisI5rCCfWcYNGYb2GiKpvi8ZD&#10;j9G1Kuaz2WnRW984bxkPAW+vRiNd5/hCcBZvhAg8ElVTrC3m0+dzl85ifQ6r1oPrJJvKgH+oQoM0&#10;mPQp1BVEIHsvfwulJfM2WBFPmNWFFUIynnvAbsrZq27uOnA894LgBPcEU/h/YdmXw60nsqlpVVFi&#10;QOOMviJqYFrFCd4hQL0LK/S7c7d+0gKKqdtBeE28RVTLU5wGfhkEbIsMGePHJ4z5EAnDy3K+LKv3&#10;OAqGtmoxWy5SimKMlWI6H+InbjVJQk09FpODwuE6xNH16JLcg1Wy2UqlsuLb3aXy5AA47sX243xx&#10;jP7CTRnSp0rOsF7CAGknFEQUtUMggmkpAdUin1n0OfeLv8PfJUlFXkHoxmJyhJFtWkakvJK6pssR&#10;s7ErZVILPJN2ajUhP2KdpDjshjyq8jiVnW0ecXx5AthKcGwrMe01hHgLHomMl7ic8QYPoSw2bSeJ&#10;ks76H3+6T/7IL7RS0uNiICDf9+A5JeqzQeZ9KKsKw8asVIuzOSr+uWX33GL2+tLiMMpcXRaTf1RH&#10;UXirH3CHNykrmsAwzD1CPymXcVxYfAUY32yyG26Pg3ht7hxLwY/EuR8ewLuJOhE598UelwhWrxg0&#10;+qY/jd3soxUy0yshPeKKtEwKbl4m6PRKpNV+rmevX2/Z+icAAAD//wMAUEsDBBQABgAIAAAAIQC1&#10;NYfG5wAAABABAAAPAAAAZHJzL2Rvd25yZXYueG1sTI/BTsMwEETvSPyDtUjcWielKW4apypFCJC4&#10;JCDB0Y1NHCW2I9tt079nOcFlpdXOzswrtpMZyEn50DnLIZ0nQJRtnOxsy+Hj/WnGgIQorBSDs4rD&#10;RQXYltdXhcilO9tKnerYEjSxIRccdIxjTmlotDIizN2oLN6+nTci4upbKr04o7kZ6CJJVtSIzmKC&#10;FqPaa9X09dFgyPPn8ou9dju9qnrfX16qff32wPntzfS4wbHbAIlqin8f8MuA/aHEYgd3tDKQgcM6&#10;S5co5TBLFwzRULLOWAbkwOH+jgEtC/ofpPwBAAD//wMAUEsBAi0AFAAGAAgAAAAhALaDOJL+AAAA&#10;4QEAABMAAAAAAAAAAAAAAAAAAAAAAFtDb250ZW50X1R5cGVzXS54bWxQSwECLQAUAAYACAAAACEA&#10;OP0h/9YAAACUAQAACwAAAAAAAAAAAAAAAAAvAQAAX3JlbHMvLnJlbHNQSwECLQAUAAYACAAAACEA&#10;8drQ/30CAAATBQAADgAAAAAAAAAAAAAAAAAuAgAAZHJzL2Uyb0RvYy54bWxQSwECLQAUAAYACAAA&#10;ACEAtTWHxucAAAAQAQAADwAAAAAAAAAAAAAAAADXBAAAZHJzL2Rvd25yZXYueG1sUEsFBgAAAAAE&#10;AAQA8wAAAOsFAAAAAA==&#10;" fillcolor="#5fb255" strokecolor="#5fb255" strokeweight="1pt">
                  <v:textbox>
                    <w:txbxContent>
                      <w:p w14:paraId="63ECCF5D" w14:textId="77777777" w:rsidR="003E0BC5" w:rsidRDefault="003E0BC5" w:rsidP="006202A4">
                        <w:pPr>
                          <w:jc w:val="center"/>
                        </w:pPr>
                      </w:p>
                    </w:txbxContent>
                  </v:textbox>
                </v:rect>
              </w:pict>
            </mc:Fallback>
          </mc:AlternateContent>
        </w:r>
        <w:r w:rsidRPr="00D5177B">
          <w:rPr>
            <w:noProof/>
            <w:color w:val="7F7F7F"/>
            <w:lang w:val="en-US" w:eastAsia="en-US"/>
          </w:rPr>
          <mc:AlternateContent>
            <mc:Choice Requires="wps">
              <w:drawing>
                <wp:anchor distT="45720" distB="45720" distL="114300" distR="114300" simplePos="0" relativeHeight="251664384" behindDoc="0" locked="0" layoutInCell="1" allowOverlap="1" wp14:anchorId="202F3045" wp14:editId="7AC21432">
                  <wp:simplePos x="0" y="0"/>
                  <wp:positionH relativeFrom="column">
                    <wp:posOffset>-904875</wp:posOffset>
                  </wp:positionH>
                  <wp:positionV relativeFrom="paragraph">
                    <wp:posOffset>326390</wp:posOffset>
                  </wp:positionV>
                  <wp:extent cx="6770370" cy="262255"/>
                  <wp:effectExtent l="0" t="0" r="0"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262255"/>
                          </a:xfrm>
                          <a:prstGeom prst="rect">
                            <a:avLst/>
                          </a:prstGeom>
                          <a:noFill/>
                          <a:ln w="9525">
                            <a:noFill/>
                            <a:miter lim="800000"/>
                            <a:headEnd/>
                            <a:tailEnd/>
                          </a:ln>
                        </wps:spPr>
                        <wps:txbx>
                          <w:txbxContent>
                            <w:p w14:paraId="6C2C967B" w14:textId="575FBA4F" w:rsidR="003E0BC5" w:rsidRPr="00D5177B" w:rsidRDefault="003E0BC5" w:rsidP="00D83DA9">
                              <w:pPr>
                                <w:jc w:val="right"/>
                                <w:rPr>
                                  <w:color w:val="7F7F7F"/>
                                  <w:sz w:val="16"/>
                                  <w:szCs w:val="16"/>
                                </w:rPr>
                              </w:pPr>
                              <w:r w:rsidRPr="00D5177B">
                                <w:rPr>
                                  <w:color w:val="7F7F7F"/>
                                  <w:sz w:val="16"/>
                                  <w:szCs w:val="16"/>
                                </w:rPr>
                                <w:t xml:space="preserve">ACCESS Health International Southeast Asia Ltd is registered in Singapore under </w:t>
                              </w:r>
                              <w:r w:rsidR="000969BE">
                                <w:rPr>
                                  <w:color w:val="7F7F7F"/>
                                  <w:sz w:val="16"/>
                                  <w:szCs w:val="16"/>
                                </w:rPr>
                                <w:t>UEN</w:t>
                              </w:r>
                              <w:r w:rsidRPr="00D5177B">
                                <w:rPr>
                                  <w:color w:val="7F7F7F"/>
                                  <w:sz w:val="16"/>
                                  <w:szCs w:val="16"/>
                                </w:rPr>
                                <w:t xml:space="preserve"> 201112640R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02F3045" id="_x0000_t202" coordsize="21600,21600" o:spt="202" path="m,l,21600r21600,l21600,xe">
                  <v:stroke joinstyle="miter"/>
                  <v:path gradientshapeok="t" o:connecttype="rect"/>
                </v:shapetype>
                <v:shape id="Text Box 2" o:spid="_x0000_s1028" type="#_x0000_t202" style="position:absolute;left:0;text-align:left;margin-left:-71.25pt;margin-top:25.7pt;width:533.1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faDgIAAPsDAAAOAAAAZHJzL2Uyb0RvYy54bWysU9tu2zAMfR+wfxD0vjjxcmmMOEXXrsOA&#10;7gK0+wBGlmNhkqhJSuzu60fJaRZsb8P0IEgiechzSG2uB6PZUfqg0NZ8NplyJq3ARtl9zb893b+5&#10;4ixEsA1otLLmzzLw6+3rV5veVbLEDnUjPSMQG6re1byL0VVFEUQnDYQJOmnJ2KI3EOnq90XjoSd0&#10;o4tyOl0WPfrGeRQyBHq9G418m/HbVor4pW2DjEzXnGqLefd536W92G6g2ntwnRKnMuAfqjCgLCU9&#10;Q91BBHbw6i8oo4THgG2cCDQFtq0SMnMgNrPpH2weO3AycyFxgjvLFP4frPh8/OqZaqh36xVnFgw1&#10;6UkOkb3DgZVJn96FitweHTnGgZ7JN3MN7gHF98As3nZg9/LGe+w7CQ3VN0uRxUXoiBMSyK7/hA2l&#10;gUPEDDS03iTxSA5G6NSn53NvUimCHper1fTtikyCbOWyLBeLnAKql2jnQ/wg0bB0qLmn3md0OD6E&#10;mKqB6sUlJbN4r7TO/deW9TVfL8pFDriwGBVpPLUyNb+apjUOTCL53jY5OILS45kSaHtinYiOlOOw&#10;G7LAZzF32DyTDB7HaaTfQ4cO/U/OeprEmocfB/CSM/3RkpTr2XyeRjdf5otVSRd/adldWsAKgqp5&#10;5Gw83sY87iPlG5K8VVmN1JuxklPJNGFZpNNvSCN8ec9ev//s9hcAAAD//wMAUEsDBBQABgAIAAAA&#10;IQBvDtI14gAAAA8BAAAPAAAAZHJzL2Rvd25yZXYueG1sTE9NT8MwDL0j8R8iI3HbkpaWsa7phJi4&#10;gjbYJG5Z67UVjVM12Vr+Pd4JLpat9/w+8vVkO3HBwbeONERzBQKpdFVLtYbPj9fZEwgfDFWmc4Qa&#10;ftDDuri9yU1WuZG2eNmFWrAI+cxoaELoMyl92aA1fu56JMZObrAm8DnUshrMyOK2k7FSj9Kaltih&#10;MT2+NFh+785Ww/7t9HVI1Hu9sWk/uklJskup9f3dtFnxeF6BCDiFvw+4duD8UHCwoztT5UWnYRYl&#10;ccpcDWmUgGDGMn5YgDhelwXIIpf/exS/AAAA//8DAFBLAQItABQABgAIAAAAIQC2gziS/gAAAOEB&#10;AAATAAAAAAAAAAAAAAAAAAAAAABbQ29udGVudF9UeXBlc10ueG1sUEsBAi0AFAAGAAgAAAAhADj9&#10;If/WAAAAlAEAAAsAAAAAAAAAAAAAAAAALwEAAF9yZWxzLy5yZWxzUEsBAi0AFAAGAAgAAAAhADWU&#10;Z9oOAgAA+wMAAA4AAAAAAAAAAAAAAAAALgIAAGRycy9lMm9Eb2MueG1sUEsBAi0AFAAGAAgAAAAh&#10;AG8O0jXiAAAADwEAAA8AAAAAAAAAAAAAAAAAaAQAAGRycy9kb3ducmV2LnhtbFBLBQYAAAAABAAE&#10;APMAAAB3BQAAAAA=&#10;" filled="f" stroked="f">
                  <v:textbox>
                    <w:txbxContent>
                      <w:p w14:paraId="6C2C967B" w14:textId="575FBA4F" w:rsidR="003E0BC5" w:rsidRPr="00D5177B" w:rsidRDefault="003E0BC5" w:rsidP="00D83DA9">
                        <w:pPr>
                          <w:jc w:val="right"/>
                          <w:rPr>
                            <w:color w:val="7F7F7F"/>
                            <w:sz w:val="16"/>
                            <w:szCs w:val="16"/>
                          </w:rPr>
                        </w:pPr>
                        <w:r w:rsidRPr="00D5177B">
                          <w:rPr>
                            <w:color w:val="7F7F7F"/>
                            <w:sz w:val="16"/>
                            <w:szCs w:val="16"/>
                          </w:rPr>
                          <w:t xml:space="preserve">ACCESS Health International Southeast Asia Ltd is registered in Singapore under </w:t>
                        </w:r>
                        <w:r w:rsidR="000969BE">
                          <w:rPr>
                            <w:color w:val="7F7F7F"/>
                            <w:sz w:val="16"/>
                            <w:szCs w:val="16"/>
                          </w:rPr>
                          <w:t>UEN</w:t>
                        </w:r>
                        <w:r w:rsidRPr="00D5177B">
                          <w:rPr>
                            <w:color w:val="7F7F7F"/>
                            <w:sz w:val="16"/>
                            <w:szCs w:val="16"/>
                          </w:rPr>
                          <w:t xml:space="preserve"> 201112640R</w:t>
                        </w:r>
                      </w:p>
                    </w:txbxContent>
                  </v:textbox>
                  <w10:wrap type="square"/>
                </v:shape>
              </w:pict>
            </mc:Fallback>
          </mc:AlternateContent>
        </w:r>
        <w:r w:rsidR="003E0BC5" w:rsidRPr="00D5177B">
          <w:rPr>
            <w:color w:val="7F7F7F"/>
          </w:rPr>
          <w:fldChar w:fldCharType="begin"/>
        </w:r>
        <w:r w:rsidR="003E0BC5" w:rsidRPr="00D5177B">
          <w:rPr>
            <w:color w:val="7F7F7F"/>
          </w:rPr>
          <w:instrText xml:space="preserve"> PAGE   \* MERGEFORMAT </w:instrText>
        </w:r>
        <w:r w:rsidR="003E0BC5" w:rsidRPr="00D5177B">
          <w:rPr>
            <w:color w:val="7F7F7F"/>
          </w:rPr>
          <w:fldChar w:fldCharType="separate"/>
        </w:r>
        <w:r w:rsidR="004D2446">
          <w:rPr>
            <w:noProof/>
            <w:color w:val="7F7F7F"/>
          </w:rPr>
          <w:t>6</w:t>
        </w:r>
        <w:r w:rsidR="003E0BC5" w:rsidRPr="00D5177B">
          <w:rPr>
            <w:noProof/>
            <w:color w:val="7F7F7F"/>
          </w:rPr>
          <w:fldChar w:fldCharType="end"/>
        </w:r>
      </w:p>
    </w:sdtContent>
  </w:sdt>
  <w:p w14:paraId="7404A88B" w14:textId="77777777" w:rsidR="003E0BC5" w:rsidRDefault="003E0B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1EBA8" w14:textId="77777777" w:rsidR="00E94980" w:rsidRDefault="00E94980" w:rsidP="008D5ABE">
      <w:pPr>
        <w:spacing w:after="0" w:line="240" w:lineRule="auto"/>
      </w:pPr>
      <w:r>
        <w:separator/>
      </w:r>
    </w:p>
  </w:footnote>
  <w:footnote w:type="continuationSeparator" w:id="0">
    <w:p w14:paraId="382D9144" w14:textId="77777777" w:rsidR="00E94980" w:rsidRDefault="00E94980" w:rsidP="008D5AB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9B2ED" w14:textId="2817CC18" w:rsidR="003E0BC5" w:rsidRDefault="003E0BC5" w:rsidP="008D5ABE">
    <w:pPr>
      <w:pStyle w:val="Header"/>
      <w:tabs>
        <w:tab w:val="clear" w:pos="9026"/>
        <w:tab w:val="left" w:pos="8460"/>
        <w:tab w:val="right" w:pos="8640"/>
      </w:tabs>
      <w:ind w:right="-424"/>
      <w:jc w:val="right"/>
      <w:rPr>
        <w:sz w:val="6"/>
        <w:szCs w:val="6"/>
      </w:rPr>
    </w:pPr>
  </w:p>
  <w:p w14:paraId="32320B3C" w14:textId="1035F6E7" w:rsidR="003E0BC5" w:rsidRDefault="003E0BC5" w:rsidP="008D5ABE">
    <w:pPr>
      <w:pStyle w:val="Header"/>
      <w:tabs>
        <w:tab w:val="clear" w:pos="9026"/>
        <w:tab w:val="left" w:pos="8460"/>
        <w:tab w:val="right" w:pos="8640"/>
      </w:tabs>
      <w:ind w:right="-424"/>
      <w:jc w:val="right"/>
      <w:rPr>
        <w:sz w:val="6"/>
        <w:szCs w:val="6"/>
      </w:rPr>
    </w:pPr>
  </w:p>
  <w:p w14:paraId="44E5CE2B" w14:textId="4DE02BA8" w:rsidR="003E0BC5" w:rsidRDefault="003E0BC5" w:rsidP="008D5ABE">
    <w:pPr>
      <w:pStyle w:val="Header"/>
      <w:tabs>
        <w:tab w:val="clear" w:pos="9026"/>
        <w:tab w:val="left" w:pos="8460"/>
        <w:tab w:val="right" w:pos="8640"/>
      </w:tabs>
      <w:ind w:right="-424"/>
      <w:jc w:val="right"/>
      <w:rPr>
        <w:sz w:val="6"/>
        <w:szCs w:val="6"/>
      </w:rPr>
    </w:pPr>
  </w:p>
  <w:p w14:paraId="3F232B80" w14:textId="41A5C29C" w:rsidR="003E0BC5" w:rsidRDefault="003E0BC5" w:rsidP="008D5ABE">
    <w:pPr>
      <w:pStyle w:val="Header"/>
      <w:tabs>
        <w:tab w:val="clear" w:pos="9026"/>
        <w:tab w:val="left" w:pos="8460"/>
        <w:tab w:val="right" w:pos="8640"/>
      </w:tabs>
      <w:ind w:right="-424"/>
      <w:jc w:val="right"/>
      <w:rPr>
        <w:sz w:val="6"/>
        <w:szCs w:val="6"/>
      </w:rPr>
    </w:pPr>
  </w:p>
  <w:p w14:paraId="4348AC36" w14:textId="4F298CEB" w:rsidR="003E0BC5" w:rsidRDefault="003E0BC5" w:rsidP="008D5ABE">
    <w:pPr>
      <w:pStyle w:val="Header"/>
      <w:tabs>
        <w:tab w:val="clear" w:pos="9026"/>
        <w:tab w:val="left" w:pos="8460"/>
        <w:tab w:val="right" w:pos="8640"/>
      </w:tabs>
      <w:ind w:right="-424"/>
      <w:jc w:val="right"/>
      <w:rPr>
        <w:sz w:val="6"/>
        <w:szCs w:val="6"/>
      </w:rPr>
    </w:pPr>
  </w:p>
  <w:p w14:paraId="56035DDF" w14:textId="07B825E8" w:rsidR="003E0BC5" w:rsidRPr="006202A4" w:rsidRDefault="003E0BC5" w:rsidP="008D5ABE">
    <w:pPr>
      <w:pStyle w:val="Header"/>
      <w:tabs>
        <w:tab w:val="clear" w:pos="9026"/>
        <w:tab w:val="left" w:pos="8460"/>
        <w:tab w:val="right" w:pos="8640"/>
      </w:tabs>
      <w:ind w:right="-424"/>
      <w:jc w:val="right"/>
      <w:rPr>
        <w:sz w:val="6"/>
        <w:szCs w:val="6"/>
      </w:rPr>
    </w:pPr>
  </w:p>
  <w:p w14:paraId="5A350E13" w14:textId="080FE08D" w:rsidR="003E0BC5" w:rsidRDefault="00D5177B" w:rsidP="00B618D9">
    <w:pPr>
      <w:pStyle w:val="Header"/>
      <w:tabs>
        <w:tab w:val="clear" w:pos="9026"/>
        <w:tab w:val="left" w:pos="8460"/>
        <w:tab w:val="right" w:pos="8640"/>
      </w:tabs>
      <w:ind w:right="-630"/>
      <w:jc w:val="right"/>
    </w:pPr>
    <w:r w:rsidRPr="004672AD">
      <w:rPr>
        <w:noProof/>
        <w:color w:val="7F7F7F"/>
        <w:lang w:val="en-US" w:eastAsia="en-US"/>
      </w:rPr>
      <mc:AlternateContent>
        <mc:Choice Requires="wps">
          <w:drawing>
            <wp:anchor distT="0" distB="0" distL="114300" distR="114300" simplePos="0" relativeHeight="251666432" behindDoc="0" locked="0" layoutInCell="1" allowOverlap="1" wp14:anchorId="09CB2CEC" wp14:editId="449E0949">
              <wp:simplePos x="0" y="0"/>
              <wp:positionH relativeFrom="column">
                <wp:posOffset>3055620</wp:posOffset>
              </wp:positionH>
              <wp:positionV relativeFrom="paragraph">
                <wp:posOffset>490855</wp:posOffset>
              </wp:positionV>
              <wp:extent cx="1649730" cy="45719"/>
              <wp:effectExtent l="0" t="0" r="7620" b="0"/>
              <wp:wrapNone/>
              <wp:docPr id="20" name="Rectangle 20"/>
              <wp:cNvGraphicFramePr/>
              <a:graphic xmlns:a="http://schemas.openxmlformats.org/drawingml/2006/main">
                <a:graphicData uri="http://schemas.microsoft.com/office/word/2010/wordprocessingShape">
                  <wps:wsp>
                    <wps:cNvSpPr/>
                    <wps:spPr>
                      <a:xfrm>
                        <a:off x="0" y="0"/>
                        <a:ext cx="1649730" cy="45719"/>
                      </a:xfrm>
                      <a:prstGeom prst="rect">
                        <a:avLst/>
                      </a:prstGeom>
                      <a:solidFill>
                        <a:srgbClr val="5FB255"/>
                      </a:solidFill>
                      <a:ln w="6350" cap="flat" cmpd="sng" algn="ctr">
                        <a:noFill/>
                        <a:prstDash val="solid"/>
                        <a:miter lim="800000"/>
                      </a:ln>
                      <a:effectLst/>
                    </wps:spPr>
                    <wps:txbx>
                      <w:txbxContent>
                        <w:p w14:paraId="34C9EC10" w14:textId="77777777" w:rsidR="00D5177B" w:rsidRDefault="00D5177B" w:rsidP="00D51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CB2CEC" id="Rectangle 20" o:spid="_x0000_s1026" style="position:absolute;left:0;text-align:left;margin-left:240.6pt;margin-top:38.65pt;width:12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Z9bwIAANMEAAAOAAAAZHJzL2Uyb0RvYy54bWysVMtu2zAQvBfoPxC8N7IdOw/BcuAmcFEg&#10;SII6Rc5ripQI8FWStpR+fZeUnKRpT0V9oJfc9Qx3OOvlVa8VOXAfpDUVnZ5MKOGG2VqapqLfHzef&#10;LigJEUwNyhpe0Wce6NXq44dl50o+s61VNfcEQUwoO1fRNkZXFkVgLdcQTqzjBpPCeg0Rt74pag8d&#10;omtVzCaTs6KzvnbeMh4Cnt4MSbrK+EJwFu+FCDwSVVG8W8yrz+surcVqCWXjwbWSjdeAf7iFBmmQ&#10;9AXqBiKQvZd/QGnJvA1WxBNmdWGFkIznHrCb6eRdN9sWHM+9oDjBvcgU/h8suzs8eCLris5QHgMa&#10;3+gbqgamUZzgGQrUuVBi3dY9+HEXMEzd9sLr9I19kD6L+vwiKu8jYXg4PZtfnp8iOMPcfHE+vUyY&#10;xeuPnQ/xC7eapKCiHtmzlHC4DXEoPZYkrmCVrDdSqbzxze5aeXIAfN/F5vNssRjRfytThnQVPTtd&#10;pGsA2kwoiBhqh40H01ACqkH/sugztbGJALmhTNQ3ENqBIqMmBii1jOhcJXVFLybpMxIrk7I8e29s&#10;IAk4SJai2O96REjhztbPKL+3gy+DYxuJfLcQ4gN4NCLeF4cr3uMilMUe7BhR0lr/82/nqR79gVlK&#10;OjQ2NvhjD55Tor4adM7ldD5H2Jg3+B7p3f3bzO5txuz1tUVtpzjGjuUw1Ud1DIW3+glncJ1YMQWG&#10;Ifcg5bi5jsPA4RQzvl7nMnS/g3hrto4l8KPSj/0TeDc6IaKF7uxxCKB8Z4ihNv3S2PU+WiGzW151&#10;RZelDU5O9ts45Wk03+5z1et/0eoXAAAA//8DAFBLAwQUAAYACAAAACEAAPJXtuQAAAAOAQAADwAA&#10;AGRycy9kb3ducmV2LnhtbEyPT0+DQBDF7yZ+h8008WYXKgqhLE1TJbEnY2vvW3YE6v5Bdmnpt3c8&#10;6WWSybz35v2K1WQ0O+PgO2cFxPMIGNraqc42Aj721X0GzAdpldTOooAreliVtzeFzJW72Hc870LD&#10;KMT6XApoQ+hzzn3dopF+7nq0dPt0g5GB1qHhapAXCjeaL6LoiRvZWfrQyh43LdZfu9EI2OLYvJwO&#10;9bqqNm+H771OrtvhVYi72fS8pLFeAgs4hT8H/DJQfyip2NGNVnmmBSRZvCCpgDR9AEaCNImJ8Cgg&#10;Sx6BlwX/j1H+AAAA//8DAFBLAQItABQABgAIAAAAIQC2gziS/gAAAOEBAAATAAAAAAAAAAAAAAAA&#10;AAAAAABbQ29udGVudF9UeXBlc10ueG1sUEsBAi0AFAAGAAgAAAAhADj9If/WAAAAlAEAAAsAAAAA&#10;AAAAAAAAAAAALwEAAF9yZWxzLy5yZWxzUEsBAi0AFAAGAAgAAAAhAKqetn1vAgAA0wQAAA4AAAAA&#10;AAAAAAAAAAAALgIAAGRycy9lMm9Eb2MueG1sUEsBAi0AFAAGAAgAAAAhAADyV7bkAAAADgEAAA8A&#10;AAAAAAAAAAAAAAAAyQQAAGRycy9kb3ducmV2LnhtbFBLBQYAAAAABAAEAPMAAADaBQAAAAA=&#10;" fillcolor="#5fb255" stroked="f" strokeweight=".5pt">
              <v:textbox>
                <w:txbxContent>
                  <w:p w14:paraId="34C9EC10" w14:textId="77777777" w:rsidR="00D5177B" w:rsidRDefault="00D5177B" w:rsidP="00D5177B">
                    <w:pPr>
                      <w:jc w:val="center"/>
                    </w:pPr>
                  </w:p>
                </w:txbxContent>
              </v:textbox>
            </v:rect>
          </w:pict>
        </mc:Fallback>
      </mc:AlternateContent>
    </w:r>
    <w:r w:rsidR="003E0BC5">
      <w:rPr>
        <w:noProof/>
        <w:lang w:val="en-US" w:eastAsia="en-US"/>
      </w:rPr>
      <w:drawing>
        <wp:inline distT="0" distB="0" distL="0" distR="0" wp14:anchorId="050FDE42" wp14:editId="57553029">
          <wp:extent cx="1700344" cy="597535"/>
          <wp:effectExtent l="0" t="0" r="0" b="0"/>
          <wp:docPr id="18" name="Picture 18" descr="C:\Users\Fredrik\AppData\Local\Microsoft\Windows\INetCache\Content.Word\ACCE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rik\AppData\Local\Microsoft\Windows\INetCache\Content.Word\ACCES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675" cy="61170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C4EDA"/>
    <w:multiLevelType w:val="hybridMultilevel"/>
    <w:tmpl w:val="9B2A1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085A87"/>
    <w:multiLevelType w:val="hybridMultilevel"/>
    <w:tmpl w:val="47E23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FF5382"/>
    <w:multiLevelType w:val="hybridMultilevel"/>
    <w:tmpl w:val="C98EE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C2364A"/>
    <w:multiLevelType w:val="multilevel"/>
    <w:tmpl w:val="ACF47A1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4E139D7"/>
    <w:multiLevelType w:val="hybridMultilevel"/>
    <w:tmpl w:val="60FAC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BE"/>
    <w:rsid w:val="0002230F"/>
    <w:rsid w:val="00045139"/>
    <w:rsid w:val="000969BE"/>
    <w:rsid w:val="000C6FD4"/>
    <w:rsid w:val="000D643A"/>
    <w:rsid w:val="000F0C89"/>
    <w:rsid w:val="000F1478"/>
    <w:rsid w:val="001B1EA8"/>
    <w:rsid w:val="001E1FB8"/>
    <w:rsid w:val="001F2E77"/>
    <w:rsid w:val="0022274E"/>
    <w:rsid w:val="00297625"/>
    <w:rsid w:val="002B4706"/>
    <w:rsid w:val="002B6EFE"/>
    <w:rsid w:val="002C040D"/>
    <w:rsid w:val="002D2D60"/>
    <w:rsid w:val="002E621D"/>
    <w:rsid w:val="00345330"/>
    <w:rsid w:val="00367BDB"/>
    <w:rsid w:val="0037523B"/>
    <w:rsid w:val="003A4A11"/>
    <w:rsid w:val="003E0BC5"/>
    <w:rsid w:val="003E2ABD"/>
    <w:rsid w:val="003F67D2"/>
    <w:rsid w:val="004403F1"/>
    <w:rsid w:val="00462D55"/>
    <w:rsid w:val="00496C16"/>
    <w:rsid w:val="004D2446"/>
    <w:rsid w:val="004D4EE3"/>
    <w:rsid w:val="004E525C"/>
    <w:rsid w:val="00500A84"/>
    <w:rsid w:val="00501942"/>
    <w:rsid w:val="005137C3"/>
    <w:rsid w:val="00520C62"/>
    <w:rsid w:val="0052436F"/>
    <w:rsid w:val="005277CA"/>
    <w:rsid w:val="005376C6"/>
    <w:rsid w:val="00541113"/>
    <w:rsid w:val="00585450"/>
    <w:rsid w:val="005910D0"/>
    <w:rsid w:val="005B532D"/>
    <w:rsid w:val="006202A4"/>
    <w:rsid w:val="006837E7"/>
    <w:rsid w:val="00691C3A"/>
    <w:rsid w:val="006F0CB0"/>
    <w:rsid w:val="006F464C"/>
    <w:rsid w:val="00715CAC"/>
    <w:rsid w:val="00727B08"/>
    <w:rsid w:val="007407AF"/>
    <w:rsid w:val="00746D94"/>
    <w:rsid w:val="00747E7A"/>
    <w:rsid w:val="00786B93"/>
    <w:rsid w:val="00796B50"/>
    <w:rsid w:val="007A7A9D"/>
    <w:rsid w:val="007C53C6"/>
    <w:rsid w:val="007C5EF3"/>
    <w:rsid w:val="007D2314"/>
    <w:rsid w:val="007F0F6C"/>
    <w:rsid w:val="007F5938"/>
    <w:rsid w:val="00826285"/>
    <w:rsid w:val="00831715"/>
    <w:rsid w:val="008415E2"/>
    <w:rsid w:val="008C4F83"/>
    <w:rsid w:val="008D5ABE"/>
    <w:rsid w:val="008E1741"/>
    <w:rsid w:val="008E3495"/>
    <w:rsid w:val="009819A0"/>
    <w:rsid w:val="009A3CC0"/>
    <w:rsid w:val="009D5A71"/>
    <w:rsid w:val="00A455BD"/>
    <w:rsid w:val="00A52DEC"/>
    <w:rsid w:val="00A63379"/>
    <w:rsid w:val="00A66F7C"/>
    <w:rsid w:val="00AA67C8"/>
    <w:rsid w:val="00AE04B1"/>
    <w:rsid w:val="00AF6FA1"/>
    <w:rsid w:val="00B4388D"/>
    <w:rsid w:val="00B511BF"/>
    <w:rsid w:val="00B618D9"/>
    <w:rsid w:val="00B61EC1"/>
    <w:rsid w:val="00B73AC0"/>
    <w:rsid w:val="00BB297F"/>
    <w:rsid w:val="00BB6230"/>
    <w:rsid w:val="00BD1C5C"/>
    <w:rsid w:val="00C067FC"/>
    <w:rsid w:val="00C24A6B"/>
    <w:rsid w:val="00C379C0"/>
    <w:rsid w:val="00C4627D"/>
    <w:rsid w:val="00C9248A"/>
    <w:rsid w:val="00CC45A3"/>
    <w:rsid w:val="00D12F58"/>
    <w:rsid w:val="00D40682"/>
    <w:rsid w:val="00D5177B"/>
    <w:rsid w:val="00D83DA9"/>
    <w:rsid w:val="00D86116"/>
    <w:rsid w:val="00D932C0"/>
    <w:rsid w:val="00D95E04"/>
    <w:rsid w:val="00DC44AD"/>
    <w:rsid w:val="00DD275D"/>
    <w:rsid w:val="00DF7386"/>
    <w:rsid w:val="00E2582D"/>
    <w:rsid w:val="00E32F80"/>
    <w:rsid w:val="00E401C4"/>
    <w:rsid w:val="00E54388"/>
    <w:rsid w:val="00E74A3E"/>
    <w:rsid w:val="00E94980"/>
    <w:rsid w:val="00F415E8"/>
    <w:rsid w:val="00FA3847"/>
    <w:rsid w:val="00FA4EB0"/>
    <w:rsid w:val="00FD1583"/>
    <w:rsid w:val="00FE13C6"/>
    <w:rsid w:val="00FF762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B9C8E"/>
  <w15:chartTrackingRefBased/>
  <w15:docId w15:val="{1B7F9290-5681-4EC5-BB38-DA2EDFF29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6116"/>
    <w:rPr>
      <w:rFonts w:eastAsiaTheme="minorEastAsia"/>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ABE"/>
  </w:style>
  <w:style w:type="paragraph" w:styleId="Footer">
    <w:name w:val="footer"/>
    <w:basedOn w:val="Normal"/>
    <w:link w:val="FooterChar"/>
    <w:uiPriority w:val="99"/>
    <w:unhideWhenUsed/>
    <w:rsid w:val="008D5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ABE"/>
  </w:style>
  <w:style w:type="paragraph" w:styleId="NormalWeb">
    <w:name w:val="Normal (Web)"/>
    <w:basedOn w:val="Normal"/>
    <w:uiPriority w:val="99"/>
    <w:unhideWhenUsed/>
    <w:rsid w:val="008D5A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basedOn w:val="DefaultParagraphFont"/>
    <w:rsid w:val="00D86116"/>
    <w:rPr>
      <w:rFonts w:ascii="CIDFont+F2" w:hAnsi="CIDFont+F2" w:hint="default"/>
      <w:b w:val="0"/>
      <w:bCs w:val="0"/>
      <w:i w:val="0"/>
      <w:iCs w:val="0"/>
      <w:color w:val="000000"/>
      <w:sz w:val="22"/>
      <w:szCs w:val="22"/>
    </w:rPr>
  </w:style>
  <w:style w:type="paragraph" w:customStyle="1" w:styleId="1">
    <w:name w:val="列出段落1"/>
    <w:basedOn w:val="Normal"/>
    <w:uiPriority w:val="34"/>
    <w:qFormat/>
    <w:rsid w:val="00D86116"/>
    <w:pPr>
      <w:widowControl w:val="0"/>
      <w:spacing w:after="0" w:line="240" w:lineRule="auto"/>
      <w:ind w:firstLineChars="200" w:firstLine="420"/>
      <w:jc w:val="both"/>
    </w:pPr>
    <w:rPr>
      <w:kern w:val="2"/>
      <w:sz w:val="21"/>
      <w:lang w:val="en-US"/>
    </w:rPr>
  </w:style>
  <w:style w:type="paragraph" w:styleId="FootnoteText">
    <w:name w:val="footnote text"/>
    <w:basedOn w:val="Normal"/>
    <w:link w:val="FootnoteTextChar"/>
    <w:uiPriority w:val="99"/>
    <w:unhideWhenUsed/>
    <w:rsid w:val="00D86116"/>
    <w:pPr>
      <w:spacing w:after="0" w:line="240" w:lineRule="auto"/>
    </w:pPr>
    <w:rPr>
      <w:sz w:val="20"/>
      <w:szCs w:val="20"/>
    </w:rPr>
  </w:style>
  <w:style w:type="character" w:customStyle="1" w:styleId="FootnoteTextChar">
    <w:name w:val="Footnote Text Char"/>
    <w:basedOn w:val="DefaultParagraphFont"/>
    <w:link w:val="FootnoteText"/>
    <w:uiPriority w:val="99"/>
    <w:rsid w:val="00D86116"/>
    <w:rPr>
      <w:rFonts w:eastAsiaTheme="minorEastAsia"/>
      <w:sz w:val="20"/>
      <w:szCs w:val="20"/>
      <w:lang w:val="en-CA" w:eastAsia="zh-CN"/>
    </w:rPr>
  </w:style>
  <w:style w:type="character" w:styleId="FootnoteReference">
    <w:name w:val="footnote reference"/>
    <w:basedOn w:val="DefaultParagraphFont"/>
    <w:uiPriority w:val="99"/>
    <w:unhideWhenUsed/>
    <w:rsid w:val="00D86116"/>
    <w:rPr>
      <w:vertAlign w:val="superscript"/>
    </w:rPr>
  </w:style>
  <w:style w:type="character" w:styleId="Hyperlink">
    <w:name w:val="Hyperlink"/>
    <w:basedOn w:val="DefaultParagraphFont"/>
    <w:uiPriority w:val="99"/>
    <w:unhideWhenUsed/>
    <w:rsid w:val="00D86116"/>
    <w:rPr>
      <w:color w:val="0563C1" w:themeColor="hyperlink"/>
      <w:u w:val="single"/>
    </w:rPr>
  </w:style>
  <w:style w:type="character" w:styleId="CommentReference">
    <w:name w:val="annotation reference"/>
    <w:basedOn w:val="DefaultParagraphFont"/>
    <w:uiPriority w:val="99"/>
    <w:semiHidden/>
    <w:unhideWhenUsed/>
    <w:rsid w:val="00D86116"/>
    <w:rPr>
      <w:sz w:val="16"/>
      <w:szCs w:val="16"/>
    </w:rPr>
  </w:style>
  <w:style w:type="paragraph" w:styleId="CommentText">
    <w:name w:val="annotation text"/>
    <w:basedOn w:val="Normal"/>
    <w:link w:val="CommentTextChar"/>
    <w:uiPriority w:val="99"/>
    <w:semiHidden/>
    <w:unhideWhenUsed/>
    <w:rsid w:val="00D86116"/>
    <w:pPr>
      <w:spacing w:line="240" w:lineRule="auto"/>
    </w:pPr>
    <w:rPr>
      <w:sz w:val="20"/>
      <w:szCs w:val="20"/>
    </w:rPr>
  </w:style>
  <w:style w:type="character" w:customStyle="1" w:styleId="CommentTextChar">
    <w:name w:val="Comment Text Char"/>
    <w:basedOn w:val="DefaultParagraphFont"/>
    <w:link w:val="CommentText"/>
    <w:uiPriority w:val="99"/>
    <w:semiHidden/>
    <w:rsid w:val="00D86116"/>
    <w:rPr>
      <w:rFonts w:eastAsiaTheme="minorEastAsia"/>
      <w:sz w:val="20"/>
      <w:szCs w:val="20"/>
      <w:lang w:val="en-CA" w:eastAsia="zh-CN"/>
    </w:rPr>
  </w:style>
  <w:style w:type="paragraph" w:styleId="CommentSubject">
    <w:name w:val="annotation subject"/>
    <w:basedOn w:val="CommentText"/>
    <w:next w:val="CommentText"/>
    <w:link w:val="CommentSubjectChar"/>
    <w:uiPriority w:val="99"/>
    <w:semiHidden/>
    <w:unhideWhenUsed/>
    <w:rsid w:val="00D86116"/>
    <w:rPr>
      <w:b/>
      <w:bCs/>
    </w:rPr>
  </w:style>
  <w:style w:type="character" w:customStyle="1" w:styleId="CommentSubjectChar">
    <w:name w:val="Comment Subject Char"/>
    <w:basedOn w:val="CommentTextChar"/>
    <w:link w:val="CommentSubject"/>
    <w:uiPriority w:val="99"/>
    <w:semiHidden/>
    <w:rsid w:val="00D86116"/>
    <w:rPr>
      <w:rFonts w:eastAsiaTheme="minorEastAsia"/>
      <w:b/>
      <w:bCs/>
      <w:sz w:val="20"/>
      <w:szCs w:val="20"/>
      <w:lang w:val="en-CA" w:eastAsia="zh-CN"/>
    </w:rPr>
  </w:style>
  <w:style w:type="paragraph" w:styleId="BalloonText">
    <w:name w:val="Balloon Text"/>
    <w:basedOn w:val="Normal"/>
    <w:link w:val="BalloonTextChar"/>
    <w:uiPriority w:val="99"/>
    <w:semiHidden/>
    <w:unhideWhenUsed/>
    <w:rsid w:val="00D86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116"/>
    <w:rPr>
      <w:rFonts w:ascii="Segoe UI" w:eastAsiaTheme="minorEastAsia" w:hAnsi="Segoe UI" w:cs="Segoe UI"/>
      <w:sz w:val="18"/>
      <w:szCs w:val="18"/>
      <w:lang w:val="en-CA" w:eastAsia="zh-CN"/>
    </w:rPr>
  </w:style>
  <w:style w:type="paragraph" w:styleId="ListParagraph">
    <w:name w:val="List Paragraph"/>
    <w:basedOn w:val="Normal"/>
    <w:uiPriority w:val="34"/>
    <w:qFormat/>
    <w:rsid w:val="00D86116"/>
    <w:pPr>
      <w:ind w:left="720"/>
      <w:contextualSpacing/>
    </w:pPr>
  </w:style>
  <w:style w:type="character" w:styleId="FollowedHyperlink">
    <w:name w:val="FollowedHyperlink"/>
    <w:basedOn w:val="DefaultParagraphFont"/>
    <w:uiPriority w:val="99"/>
    <w:semiHidden/>
    <w:unhideWhenUsed/>
    <w:rsid w:val="00A52DEC"/>
    <w:rPr>
      <w:color w:val="954F72" w:themeColor="followedHyperlink"/>
      <w:u w:val="single"/>
    </w:rPr>
  </w:style>
  <w:style w:type="table" w:styleId="TableGrid">
    <w:name w:val="Table Grid"/>
    <w:basedOn w:val="TableNormal"/>
    <w:uiPriority w:val="39"/>
    <w:rsid w:val="00F41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E5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5438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49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Mal14</b:Tag>
    <b:SourceType>JournalArticle</b:SourceType>
    <b:Guid>{F28E7804-2EC9-4340-A528-B46598646DB0}</b:Guid>
    <b:Author>
      <b:Author>
        <b:NameList>
          <b:Person>
            <b:Last>Mallath</b:Last>
            <b:First>MK</b:First>
          </b:Person>
          <b:Person>
            <b:Last>Taylor</b:Last>
            <b:First>DG</b:First>
          </b:Person>
          <b:Person>
            <b:Last>Badwe</b:Last>
            <b:First>RA</b:First>
          </b:Person>
        </b:NameList>
      </b:Author>
    </b:Author>
    <b:Title>The growing burden of cancer in India: Epidemiology and Social Context</b:Title>
    <b:JournalName>Lancet</b:JournalName>
    <b:Year>2014</b:Year>
    <b:Pages>1470-2045</b:Pages>
    <b:Volume>7011</b:Volume>
    <b:Issue>9</b:Issue>
    <b:RefOrder>1</b:RefOrder>
  </b:Source>
  <b:Source>
    <b:Tag>Pra14</b:Tag>
    <b:SourceType>JournalArticle</b:SourceType>
    <b:Guid>{6F3D84C9-C4CD-4D32-9AD3-6C9E26C2BB67}</b:Guid>
    <b:Author>
      <b:Author>
        <b:NameList>
          <b:Person>
            <b:Last>Pramesh</b:Last>
            <b:First>CS</b:First>
          </b:Person>
          <b:Person>
            <b:Last>Badwe</b:Last>
            <b:First>RA</b:First>
          </b:Person>
          <b:Person>
            <b:Last>Borthakur</b:Last>
            <b:First>BB</b:First>
          </b:Person>
        </b:NameList>
      </b:Author>
    </b:Author>
    <b:Title>Delivery of aff ordable and equitable cancer care in India</b:Title>
    <b:JournalName>Lancet</b:JournalName>
    <b:Year>2014</b:Year>
    <b:Pages>1470-2045</b:Pages>
    <b:Volume>70117</b:Volume>
    <b:Issue>2</b:Issue>
    <b:RefOrder>2</b:RefOrder>
  </b:Source>
</b:Sources>
</file>

<file path=customXml/itemProps1.xml><?xml version="1.0" encoding="utf-8"?>
<ds:datastoreItem xmlns:ds="http://schemas.openxmlformats.org/officeDocument/2006/customXml" ds:itemID="{ACE1C33E-9212-1847-B3D9-FB5271B3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2505</Words>
  <Characters>14285</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Knoeff</dc:creator>
  <cp:keywords/>
  <dc:description/>
  <cp:lastModifiedBy>user</cp:lastModifiedBy>
  <cp:revision>2</cp:revision>
  <dcterms:created xsi:type="dcterms:W3CDTF">2019-12-20T06:41:00Z</dcterms:created>
  <dcterms:modified xsi:type="dcterms:W3CDTF">2019-12-20T06:41:00Z</dcterms:modified>
</cp:coreProperties>
</file>